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F8463F" w:rsidRDefault="00044A09">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АНОТАЦІЯ</w:t>
      </w:r>
    </w:p>
    <w:p w14:paraId="00000002" w14:textId="356614F7" w:rsidR="00F8463F" w:rsidRDefault="004908A2" w:rsidP="004908A2">
      <w:pPr>
        <w:spacing w:after="0" w:line="312" w:lineRule="auto"/>
        <w:ind w:firstLine="567"/>
        <w:jc w:val="both"/>
        <w:rPr>
          <w:rFonts w:ascii="Times New Roman" w:eastAsia="Times New Roman" w:hAnsi="Times New Roman" w:cs="Times New Roman"/>
          <w:sz w:val="28"/>
          <w:szCs w:val="28"/>
        </w:rPr>
      </w:pPr>
      <w:r w:rsidRPr="004908A2">
        <w:rPr>
          <w:rFonts w:ascii="Times New Roman" w:eastAsia="Times New Roman" w:hAnsi="Times New Roman" w:cs="Times New Roman"/>
          <w:b/>
          <w:bCs/>
          <w:sz w:val="28"/>
          <w:szCs w:val="28"/>
          <w:lang w:val="uk-UA"/>
        </w:rPr>
        <w:t>Шовдра М. М.</w:t>
      </w:r>
      <w:r w:rsidR="00044A09">
        <w:rPr>
          <w:rFonts w:ascii="Times New Roman" w:eastAsia="Times New Roman" w:hAnsi="Times New Roman" w:cs="Times New Roman"/>
          <w:sz w:val="28"/>
          <w:szCs w:val="28"/>
        </w:rPr>
        <w:t xml:space="preserve"> </w:t>
      </w:r>
      <w:r w:rsidRPr="004908A2">
        <w:rPr>
          <w:rFonts w:ascii="Times New Roman" w:eastAsia="Times New Roman" w:hAnsi="Times New Roman" w:cs="Times New Roman"/>
          <w:sz w:val="28"/>
          <w:szCs w:val="28"/>
        </w:rPr>
        <w:t>Особливості північноєвропейського гуманізму у Священній Римській імперії (кінець XV – початок XVI ст.): історико-релігієзнавчий аспект</w:t>
      </w:r>
      <w:r>
        <w:rPr>
          <w:rFonts w:ascii="Times New Roman" w:eastAsia="Times New Roman" w:hAnsi="Times New Roman" w:cs="Times New Roman"/>
          <w:sz w:val="28"/>
          <w:szCs w:val="28"/>
          <w:lang w:val="uk-UA"/>
        </w:rPr>
        <w:t>.</w:t>
      </w:r>
      <w:r w:rsidR="00044A09">
        <w:rPr>
          <w:rFonts w:ascii="Times New Roman" w:eastAsia="Times New Roman" w:hAnsi="Times New Roman" w:cs="Times New Roman"/>
          <w:sz w:val="28"/>
          <w:szCs w:val="28"/>
        </w:rPr>
        <w:t xml:space="preserve"> Кваліфікаційна робота на здобуття освітнього ступеня </w:t>
      </w:r>
      <w:r w:rsidR="00044A09" w:rsidRPr="004908A2">
        <w:rPr>
          <w:rFonts w:ascii="Times New Roman" w:eastAsia="Times New Roman" w:hAnsi="Times New Roman" w:cs="Times New Roman"/>
          <w:color w:val="000000"/>
          <w:sz w:val="28"/>
          <w:szCs w:val="28"/>
        </w:rPr>
        <w:t>“</w:t>
      </w:r>
      <w:r w:rsidR="00044A09">
        <w:rPr>
          <w:rFonts w:ascii="Times New Roman" w:eastAsia="Times New Roman" w:hAnsi="Times New Roman" w:cs="Times New Roman"/>
          <w:sz w:val="28"/>
          <w:szCs w:val="28"/>
        </w:rPr>
        <w:t>Бакалавр</w:t>
      </w:r>
      <w:r w:rsidR="00044A09" w:rsidRPr="004908A2">
        <w:rPr>
          <w:rFonts w:ascii="Times New Roman" w:eastAsia="Times New Roman" w:hAnsi="Times New Roman" w:cs="Times New Roman"/>
          <w:color w:val="000000"/>
          <w:sz w:val="28"/>
          <w:szCs w:val="28"/>
        </w:rPr>
        <w:t>”</w:t>
      </w:r>
      <w:r w:rsidR="00044A09">
        <w:rPr>
          <w:rFonts w:ascii="Times New Roman" w:eastAsia="Times New Roman" w:hAnsi="Times New Roman" w:cs="Times New Roman"/>
          <w:sz w:val="28"/>
          <w:szCs w:val="28"/>
        </w:rPr>
        <w:t xml:space="preserve"> зі спеціальності 014.03 Середня освіта (Історія). ТНПУ. Тернопіль, 2026. 6</w:t>
      </w:r>
      <w:r>
        <w:rPr>
          <w:rFonts w:ascii="Times New Roman" w:eastAsia="Times New Roman" w:hAnsi="Times New Roman" w:cs="Times New Roman"/>
          <w:sz w:val="28"/>
          <w:szCs w:val="28"/>
          <w:lang w:val="uk-UA"/>
        </w:rPr>
        <w:t xml:space="preserve">3 </w:t>
      </w:r>
      <w:r w:rsidR="00044A09">
        <w:rPr>
          <w:rFonts w:ascii="Times New Roman" w:eastAsia="Times New Roman" w:hAnsi="Times New Roman" w:cs="Times New Roman"/>
          <w:sz w:val="28"/>
          <w:szCs w:val="28"/>
        </w:rPr>
        <w:t>с.</w:t>
      </w:r>
    </w:p>
    <w:p w14:paraId="00000003" w14:textId="25FCA740" w:rsidR="00F8463F" w:rsidRPr="004908A2" w:rsidRDefault="004908A2" w:rsidP="004908A2">
      <w:pPr>
        <w:pBdr>
          <w:top w:val="nil"/>
          <w:left w:val="nil"/>
          <w:bottom w:val="nil"/>
          <w:right w:val="nil"/>
          <w:between w:val="nil"/>
        </w:pBdr>
        <w:spacing w:after="0" w:line="312" w:lineRule="auto"/>
        <w:ind w:firstLine="567"/>
        <w:jc w:val="both"/>
        <w:rPr>
          <w:rFonts w:ascii="Times New Roman" w:eastAsia="Times New Roman" w:hAnsi="Times New Roman" w:cs="Times New Roman"/>
          <w:color w:val="000000"/>
          <w:sz w:val="28"/>
          <w:szCs w:val="28"/>
          <w:lang w:val="uk-UA"/>
        </w:rPr>
      </w:pPr>
      <w:r w:rsidRPr="004908A2">
        <w:rPr>
          <w:rFonts w:ascii="Times New Roman" w:eastAsia="Times New Roman" w:hAnsi="Times New Roman" w:cs="Times New Roman"/>
          <w:color w:val="000000"/>
          <w:sz w:val="28"/>
          <w:szCs w:val="28"/>
        </w:rPr>
        <w:t xml:space="preserve">У кваліфікаційній роботі здійснено історико-релігієзнавчий аналіз розвитку німецького гуманізму та його ролі у формуванні витоків Реформації наприкінці XV </w:t>
      </w:r>
      <w:r>
        <w:rPr>
          <w:rFonts w:ascii="Times New Roman" w:eastAsia="Times New Roman" w:hAnsi="Times New Roman" w:cs="Times New Roman"/>
          <w:color w:val="000000"/>
          <w:sz w:val="28"/>
          <w:szCs w:val="28"/>
          <w:lang w:val="uk-UA"/>
        </w:rPr>
        <w:t>–</w:t>
      </w:r>
      <w:r w:rsidRPr="004908A2">
        <w:rPr>
          <w:rFonts w:ascii="Times New Roman" w:eastAsia="Times New Roman" w:hAnsi="Times New Roman" w:cs="Times New Roman"/>
          <w:color w:val="000000"/>
          <w:sz w:val="28"/>
          <w:szCs w:val="28"/>
        </w:rPr>
        <w:t xml:space="preserve"> у першій половині XVI ст. Обґрунтовано вплив кризи пізньосередньовічної схоластики, книгодрукування та університетських товариств на релігійну ситуацію в Священній Римській імперії. Визначено релігійний зміст гуманістичного руху, встановлено роль принципу “ad fontes” та біблійної філології як інтелектуального фундаменту для реформаційного богослов’я. Акцентовано увагу на концепції А. Мак-Грата щодо зв</w:t>
      </w:r>
      <w:r w:rsidR="00044A09">
        <w:rPr>
          <w:rFonts w:ascii="Times New Roman" w:eastAsia="Times New Roman" w:hAnsi="Times New Roman" w:cs="Times New Roman"/>
          <w:color w:val="000000"/>
          <w:sz w:val="28"/>
          <w:szCs w:val="28"/>
          <w:lang w:val="en-US"/>
        </w:rPr>
        <w:t>’</w:t>
      </w:r>
      <w:bookmarkStart w:id="0" w:name="_GoBack"/>
      <w:bookmarkEnd w:id="0"/>
      <w:r w:rsidRPr="004908A2">
        <w:rPr>
          <w:rFonts w:ascii="Times New Roman" w:eastAsia="Times New Roman" w:hAnsi="Times New Roman" w:cs="Times New Roman"/>
          <w:color w:val="000000"/>
          <w:sz w:val="28"/>
          <w:szCs w:val="28"/>
        </w:rPr>
        <w:t>язку гуманізму та Реформації, розмежуванні їхніх шляхів у процесі конфесіоналізації, а також обґрунтовано методичний потенціал досліджуваної теми у шкільних курсах історії.</w:t>
      </w:r>
      <w:r>
        <w:rPr>
          <w:rFonts w:ascii="Times New Roman" w:eastAsia="Times New Roman" w:hAnsi="Times New Roman" w:cs="Times New Roman"/>
          <w:color w:val="000000"/>
          <w:sz w:val="28"/>
          <w:szCs w:val="28"/>
          <w:lang w:val="uk-UA"/>
        </w:rPr>
        <w:t xml:space="preserve"> </w:t>
      </w:r>
    </w:p>
    <w:p w14:paraId="00000004" w14:textId="0221D714" w:rsidR="00F8463F" w:rsidRDefault="00044A09" w:rsidP="004908A2">
      <w:pPr>
        <w:pBdr>
          <w:top w:val="nil"/>
          <w:left w:val="nil"/>
          <w:bottom w:val="nil"/>
          <w:right w:val="nil"/>
          <w:between w:val="nil"/>
        </w:pBdr>
        <w:spacing w:after="0" w:line="312" w:lineRule="auto"/>
        <w:ind w:firstLine="567"/>
        <w:jc w:val="both"/>
        <w:rPr>
          <w:rFonts w:ascii="Times New Roman" w:eastAsia="Times New Roman" w:hAnsi="Times New Roman" w:cs="Times New Roman"/>
          <w:color w:val="000000"/>
          <w:sz w:val="28"/>
          <w:szCs w:val="28"/>
        </w:rPr>
      </w:pPr>
      <w:r w:rsidRPr="004908A2">
        <w:rPr>
          <w:rFonts w:ascii="Times New Roman" w:eastAsia="Times New Roman" w:hAnsi="Times New Roman" w:cs="Times New Roman"/>
          <w:b/>
          <w:bCs/>
          <w:color w:val="000000"/>
          <w:sz w:val="28"/>
          <w:szCs w:val="28"/>
        </w:rPr>
        <w:t xml:space="preserve">Ключові слова: </w:t>
      </w:r>
      <w:r w:rsidR="004908A2">
        <w:rPr>
          <w:rFonts w:ascii="Times New Roman" w:eastAsia="Times New Roman" w:hAnsi="Times New Roman" w:cs="Times New Roman"/>
          <w:color w:val="000000"/>
          <w:sz w:val="28"/>
          <w:szCs w:val="28"/>
          <w:lang w:val="uk-UA"/>
        </w:rPr>
        <w:t>гуманізм</w:t>
      </w:r>
      <w:r>
        <w:rPr>
          <w:rFonts w:ascii="Times New Roman" w:eastAsia="Times New Roman" w:hAnsi="Times New Roman" w:cs="Times New Roman"/>
          <w:color w:val="000000"/>
          <w:sz w:val="28"/>
          <w:szCs w:val="28"/>
        </w:rPr>
        <w:t xml:space="preserve">, </w:t>
      </w:r>
      <w:r w:rsidR="004908A2">
        <w:rPr>
          <w:rFonts w:ascii="Times New Roman" w:eastAsia="Times New Roman" w:hAnsi="Times New Roman" w:cs="Times New Roman"/>
          <w:color w:val="000000"/>
          <w:sz w:val="28"/>
          <w:szCs w:val="28"/>
          <w:lang w:val="uk-UA"/>
        </w:rPr>
        <w:t>Священна Римська імперія</w:t>
      </w:r>
      <w:r>
        <w:rPr>
          <w:rFonts w:ascii="Times New Roman" w:eastAsia="Times New Roman" w:hAnsi="Times New Roman" w:cs="Times New Roman"/>
          <w:color w:val="000000"/>
          <w:sz w:val="28"/>
          <w:szCs w:val="28"/>
        </w:rPr>
        <w:t xml:space="preserve">, </w:t>
      </w:r>
      <w:r w:rsidR="004908A2">
        <w:rPr>
          <w:rFonts w:ascii="Times New Roman" w:eastAsia="Times New Roman" w:hAnsi="Times New Roman" w:cs="Times New Roman"/>
          <w:color w:val="000000"/>
          <w:sz w:val="28"/>
          <w:szCs w:val="28"/>
          <w:lang w:val="uk-UA"/>
        </w:rPr>
        <w:t>богослов</w:t>
      </w:r>
      <w:r w:rsidR="004908A2" w:rsidRPr="004908A2">
        <w:rPr>
          <w:rFonts w:ascii="Times New Roman" w:eastAsia="Times New Roman" w:hAnsi="Times New Roman" w:cs="Times New Roman"/>
          <w:color w:val="000000"/>
          <w:sz w:val="28"/>
          <w:szCs w:val="28"/>
          <w:lang w:val="uk-UA"/>
        </w:rPr>
        <w:t>’</w:t>
      </w:r>
      <w:r w:rsidR="004908A2">
        <w:rPr>
          <w:rFonts w:ascii="Times New Roman" w:eastAsia="Times New Roman" w:hAnsi="Times New Roman" w:cs="Times New Roman"/>
          <w:color w:val="000000"/>
          <w:sz w:val="28"/>
          <w:szCs w:val="28"/>
          <w:lang w:val="uk-UA"/>
        </w:rPr>
        <w:t>я</w:t>
      </w:r>
      <w:r>
        <w:rPr>
          <w:rFonts w:ascii="Times New Roman" w:eastAsia="Times New Roman" w:hAnsi="Times New Roman" w:cs="Times New Roman"/>
          <w:color w:val="000000"/>
          <w:sz w:val="28"/>
          <w:szCs w:val="28"/>
        </w:rPr>
        <w:t xml:space="preserve">, </w:t>
      </w:r>
      <w:r w:rsidR="004908A2">
        <w:rPr>
          <w:rFonts w:ascii="Times New Roman" w:eastAsia="Times New Roman" w:hAnsi="Times New Roman" w:cs="Times New Roman"/>
          <w:color w:val="000000"/>
          <w:sz w:val="28"/>
          <w:szCs w:val="28"/>
          <w:lang w:val="uk-UA"/>
        </w:rPr>
        <w:t>католицька церква</w:t>
      </w:r>
      <w:r>
        <w:rPr>
          <w:rFonts w:ascii="Times New Roman" w:eastAsia="Times New Roman" w:hAnsi="Times New Roman" w:cs="Times New Roman"/>
          <w:color w:val="000000"/>
          <w:sz w:val="28"/>
          <w:szCs w:val="28"/>
        </w:rPr>
        <w:t xml:space="preserve">, </w:t>
      </w:r>
      <w:r w:rsidR="004908A2">
        <w:rPr>
          <w:rFonts w:ascii="Times New Roman" w:eastAsia="Times New Roman" w:hAnsi="Times New Roman" w:cs="Times New Roman"/>
          <w:color w:val="000000"/>
          <w:sz w:val="28"/>
          <w:szCs w:val="28"/>
          <w:lang w:val="uk-UA"/>
        </w:rPr>
        <w:t>книгодрукування</w:t>
      </w:r>
      <w:r>
        <w:rPr>
          <w:rFonts w:ascii="Times New Roman" w:eastAsia="Times New Roman" w:hAnsi="Times New Roman" w:cs="Times New Roman"/>
          <w:color w:val="000000"/>
          <w:sz w:val="28"/>
          <w:szCs w:val="28"/>
        </w:rPr>
        <w:t xml:space="preserve">, </w:t>
      </w:r>
      <w:r w:rsidR="004908A2">
        <w:rPr>
          <w:rFonts w:ascii="Times New Roman" w:eastAsia="Times New Roman" w:hAnsi="Times New Roman" w:cs="Times New Roman"/>
          <w:color w:val="000000"/>
          <w:sz w:val="28"/>
          <w:szCs w:val="28"/>
          <w:lang w:val="uk-UA"/>
        </w:rPr>
        <w:t>освіта</w:t>
      </w:r>
      <w:r>
        <w:rPr>
          <w:rFonts w:ascii="Times New Roman" w:eastAsia="Times New Roman" w:hAnsi="Times New Roman" w:cs="Times New Roman"/>
          <w:color w:val="000000"/>
          <w:sz w:val="28"/>
          <w:szCs w:val="28"/>
        </w:rPr>
        <w:t xml:space="preserve">, </w:t>
      </w:r>
      <w:r w:rsidR="004908A2">
        <w:rPr>
          <w:rFonts w:ascii="Times New Roman" w:eastAsia="Times New Roman" w:hAnsi="Times New Roman" w:cs="Times New Roman"/>
          <w:color w:val="000000"/>
          <w:sz w:val="28"/>
          <w:szCs w:val="28"/>
          <w:lang w:val="uk-UA"/>
        </w:rPr>
        <w:t>Реформація</w:t>
      </w:r>
      <w:r>
        <w:rPr>
          <w:rFonts w:ascii="Times New Roman" w:eastAsia="Times New Roman" w:hAnsi="Times New Roman" w:cs="Times New Roman"/>
          <w:color w:val="000000"/>
          <w:sz w:val="28"/>
          <w:szCs w:val="28"/>
        </w:rPr>
        <w:t>.</w:t>
      </w:r>
    </w:p>
    <w:p w14:paraId="00000006" w14:textId="77777777" w:rsidR="00F8463F" w:rsidRDefault="00044A09">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ABSTRACT</w:t>
      </w:r>
    </w:p>
    <w:p w14:paraId="00000007" w14:textId="39F9F65F" w:rsidR="00F8463F" w:rsidRDefault="004908A2" w:rsidP="004908A2">
      <w:pPr>
        <w:spacing w:after="0" w:line="312" w:lineRule="auto"/>
        <w:ind w:firstLine="567"/>
        <w:jc w:val="both"/>
        <w:rPr>
          <w:rFonts w:ascii="Times New Roman" w:eastAsia="Times New Roman" w:hAnsi="Times New Roman" w:cs="Times New Roman"/>
          <w:color w:val="000000"/>
          <w:sz w:val="28"/>
          <w:szCs w:val="28"/>
        </w:rPr>
      </w:pPr>
      <w:r w:rsidRPr="004908A2">
        <w:rPr>
          <w:rFonts w:ascii="Times New Roman" w:eastAsia="Times New Roman" w:hAnsi="Times New Roman" w:cs="Times New Roman"/>
          <w:b/>
          <w:bCs/>
          <w:sz w:val="28"/>
          <w:szCs w:val="28"/>
          <w:lang w:val="en-US"/>
        </w:rPr>
        <w:t>Shovdra M. M.</w:t>
      </w:r>
      <w:r>
        <w:rPr>
          <w:rFonts w:ascii="Times New Roman" w:eastAsia="Times New Roman" w:hAnsi="Times New Roman" w:cs="Times New Roman"/>
          <w:sz w:val="28"/>
          <w:szCs w:val="28"/>
          <w:lang w:val="en-US"/>
        </w:rPr>
        <w:t xml:space="preserve"> </w:t>
      </w:r>
      <w:r w:rsidRPr="004908A2">
        <w:rPr>
          <w:rFonts w:ascii="Times New Roman" w:eastAsia="Times New Roman" w:hAnsi="Times New Roman" w:cs="Times New Roman"/>
          <w:color w:val="000000"/>
          <w:sz w:val="28"/>
          <w:szCs w:val="28"/>
        </w:rPr>
        <w:t>Specific Features of Northern European Humanism in the Holy Roman Empire (Late 15th – Early 16th Century): Historical and Religious Studies Aspect</w:t>
      </w:r>
      <w:r>
        <w:rPr>
          <w:rFonts w:ascii="Times New Roman" w:eastAsia="Times New Roman" w:hAnsi="Times New Roman" w:cs="Times New Roman"/>
          <w:color w:val="000000"/>
          <w:sz w:val="28"/>
          <w:szCs w:val="28"/>
          <w:lang w:val="uk-UA"/>
        </w:rPr>
        <w:t>.</w:t>
      </w:r>
      <w:r w:rsidR="00044A09">
        <w:rPr>
          <w:rFonts w:ascii="Times New Roman" w:eastAsia="Times New Roman" w:hAnsi="Times New Roman" w:cs="Times New Roman"/>
          <w:color w:val="000000"/>
          <w:sz w:val="28"/>
          <w:szCs w:val="28"/>
        </w:rPr>
        <w:t xml:space="preserve"> Qualification paper for a Bachelor’s degree in Speciality 014.03 Secondary Education (History). Ternopil Volodymyr Hnatiuk National Pedagogical University. Ternopil. Ternopil, 2026. 6</w:t>
      </w:r>
      <w:r>
        <w:rPr>
          <w:rFonts w:ascii="Times New Roman" w:eastAsia="Times New Roman" w:hAnsi="Times New Roman" w:cs="Times New Roman"/>
          <w:color w:val="000000"/>
          <w:sz w:val="28"/>
          <w:szCs w:val="28"/>
          <w:lang w:val="uk-UA"/>
        </w:rPr>
        <w:t>3</w:t>
      </w:r>
      <w:r w:rsidR="00044A09">
        <w:rPr>
          <w:rFonts w:ascii="Times New Roman" w:eastAsia="Times New Roman" w:hAnsi="Times New Roman" w:cs="Times New Roman"/>
          <w:color w:val="000000"/>
          <w:sz w:val="28"/>
          <w:szCs w:val="28"/>
        </w:rPr>
        <w:t xml:space="preserve"> p.</w:t>
      </w:r>
    </w:p>
    <w:p w14:paraId="49618FE6" w14:textId="0437BC00" w:rsidR="004908A2" w:rsidRPr="004908A2" w:rsidRDefault="004908A2" w:rsidP="004908A2">
      <w:pPr>
        <w:pBdr>
          <w:top w:val="nil"/>
          <w:left w:val="nil"/>
          <w:bottom w:val="nil"/>
          <w:right w:val="nil"/>
          <w:between w:val="nil"/>
        </w:pBdr>
        <w:spacing w:after="0" w:line="312" w:lineRule="auto"/>
        <w:ind w:firstLine="567"/>
        <w:jc w:val="both"/>
        <w:rPr>
          <w:rFonts w:ascii="Times New Roman" w:eastAsia="Times New Roman" w:hAnsi="Times New Roman" w:cs="Times New Roman"/>
          <w:color w:val="000000"/>
          <w:sz w:val="28"/>
          <w:szCs w:val="28"/>
        </w:rPr>
      </w:pPr>
      <w:r w:rsidRPr="004908A2">
        <w:rPr>
          <w:rFonts w:ascii="Times New Roman" w:eastAsia="Times New Roman" w:hAnsi="Times New Roman" w:cs="Times New Roman"/>
          <w:color w:val="000000"/>
          <w:sz w:val="28"/>
          <w:szCs w:val="28"/>
        </w:rPr>
        <w:t>The qualification thesis provides a historical and religious studies analysis of the development of German humanism and its role in shaping the origins of the Reformation in the late 15th and first half of the 16th centuries. It substantiates the impact of the crisis of late medieval scholasticism, printing, and university societies on the religious situation in the Holy Roman Empire. The religious content of the humanist movement is defined, and the role of the “ad fontes” principle and biblical philology as the intellectual foundation for Reformation theology is established. Particular emphasis is placed on Alister McGrath’s concept regarding the link between humanism and the Reformation, the parting of their ways in the process of confessionalization, and the methodological potential of the researched topic in school history courses.</w:t>
      </w:r>
    </w:p>
    <w:p w14:paraId="0000000A" w14:textId="540A8BB4" w:rsidR="00F8463F" w:rsidRDefault="004908A2" w:rsidP="004908A2">
      <w:pPr>
        <w:pBdr>
          <w:top w:val="nil"/>
          <w:left w:val="nil"/>
          <w:bottom w:val="nil"/>
          <w:right w:val="nil"/>
          <w:between w:val="nil"/>
        </w:pBdr>
        <w:spacing w:after="0" w:line="312" w:lineRule="auto"/>
        <w:ind w:firstLine="567"/>
        <w:jc w:val="both"/>
      </w:pPr>
      <w:r w:rsidRPr="004908A2">
        <w:rPr>
          <w:rFonts w:ascii="Times New Roman" w:eastAsia="Times New Roman" w:hAnsi="Times New Roman" w:cs="Times New Roman"/>
          <w:b/>
          <w:bCs/>
          <w:color w:val="000000"/>
          <w:sz w:val="28"/>
          <w:szCs w:val="28"/>
        </w:rPr>
        <w:t xml:space="preserve">Keywords: </w:t>
      </w:r>
      <w:r w:rsidRPr="004908A2">
        <w:rPr>
          <w:rFonts w:ascii="Times New Roman" w:eastAsia="Times New Roman" w:hAnsi="Times New Roman" w:cs="Times New Roman"/>
          <w:color w:val="000000"/>
          <w:sz w:val="28"/>
          <w:szCs w:val="28"/>
        </w:rPr>
        <w:t>humanism, Holy Roman Empire, theology, Catholic Church, printing, education, Reformation.</w:t>
      </w:r>
    </w:p>
    <w:sectPr w:rsidR="00F8463F">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embedRegular r:id="rId1" w:fontKey="{3352B031-9FE1-43E9-8B43-A7652830094E}"/>
    <w:embedBold r:id="rId2" w:fontKey="{08B1C593-FEE8-4CD0-9D2F-D0F9C07C5A27}"/>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E4F98B41-20C6-4D58-A60C-0D089035A361}"/>
  </w:font>
  <w:font w:name="Cambria">
    <w:panose1 w:val="02040503050406030204"/>
    <w:charset w:val="CC"/>
    <w:family w:val="roman"/>
    <w:pitch w:val="variable"/>
    <w:sig w:usb0="E00006FF" w:usb1="420024FF" w:usb2="02000000" w:usb3="00000000" w:csb0="0000019F" w:csb1="00000000"/>
    <w:embedRegular r:id="rId4" w:fontKey="{C753F917-9B0F-43E0-8CDE-A94B8D923ED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63F"/>
    <w:rsid w:val="00044A09"/>
    <w:rsid w:val="004908A2"/>
    <w:rsid w:val="00AB0F66"/>
    <w:rsid w:val="00F846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ADD46"/>
  <w15:docId w15:val="{0C06F73D-2B2E-4F20-B48A-37DC15DB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o3GQD+tYH5n2ushz9WezTEgeGQ==">CgMxLjAyDmguOTdmN2kxdGo5bDJmOAByITFOMXphVUpLZDFpZWNURm5BdTA4OUxqbmxIdUlfU1NRRQ==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1569</Words>
  <Characters>895</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cp:revision>
  <dcterms:created xsi:type="dcterms:W3CDTF">2026-06-14T01:08:00Z</dcterms:created>
  <dcterms:modified xsi:type="dcterms:W3CDTF">2026-06-14T01:20:00Z</dcterms:modified>
</cp:coreProperties>
</file>