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6C" w:rsidRPr="004C736C" w:rsidRDefault="004C736C" w:rsidP="004C736C">
      <w:pPr>
        <w:pageBreakBefore/>
        <w:suppressAutoHyphens/>
        <w:spacing w:line="252" w:lineRule="auto"/>
        <w:jc w:val="center"/>
        <w:rPr>
          <w:rFonts w:ascii="Times New Roman" w:eastAsia="Times New Roman" w:hAnsi="Times New Roman" w:cs="Times New Roman"/>
          <w:b/>
          <w:spacing w:val="-2"/>
          <w:sz w:val="28"/>
          <w:szCs w:val="28"/>
          <w:lang w:val="uk-UA" w:eastAsia="ar-SA"/>
        </w:rPr>
      </w:pPr>
      <w:r w:rsidRPr="004C736C">
        <w:rPr>
          <w:rFonts w:ascii="Times New Roman" w:eastAsia="Times New Roman" w:hAnsi="Times New Roman" w:cs="Times New Roman"/>
          <w:b/>
          <w:spacing w:val="-2"/>
          <w:sz w:val="32"/>
          <w:szCs w:val="28"/>
          <w:lang w:val="uk-UA" w:eastAsia="ar-SA"/>
        </w:rPr>
        <w:t>Анотація</w:t>
      </w:r>
    </w:p>
    <w:p w:rsidR="004C736C" w:rsidRPr="004C736C" w:rsidRDefault="004C736C" w:rsidP="004C736C">
      <w:pPr>
        <w:keepNext/>
        <w:suppressAutoHyphens/>
        <w:spacing w:after="0" w:line="360" w:lineRule="auto"/>
        <w:ind w:firstLine="567"/>
        <w:jc w:val="center"/>
        <w:rPr>
          <w:rFonts w:ascii="Times New Roman" w:eastAsia="Times New Roman" w:hAnsi="Times New Roman" w:cs="Times New Roman"/>
          <w:b/>
          <w:spacing w:val="-2"/>
          <w:sz w:val="28"/>
          <w:szCs w:val="28"/>
          <w:lang w:val="uk-UA" w:eastAsia="ar-SA"/>
        </w:rPr>
      </w:pPr>
    </w:p>
    <w:p w:rsidR="004C736C" w:rsidRPr="004C736C" w:rsidRDefault="004C736C" w:rsidP="004C736C">
      <w:pPr>
        <w:keepNext/>
        <w:suppressAutoHyphens/>
        <w:spacing w:after="0" w:line="360" w:lineRule="auto"/>
        <w:ind w:firstLine="567"/>
        <w:jc w:val="both"/>
        <w:rPr>
          <w:rFonts w:ascii="Times New Roman" w:eastAsia="Times New Roman" w:hAnsi="Times New Roman" w:cs="Times New Roman"/>
          <w:spacing w:val="-2"/>
          <w:sz w:val="28"/>
          <w:szCs w:val="28"/>
          <w:lang w:val="uk-UA" w:eastAsia="ar-SA"/>
        </w:rPr>
      </w:pPr>
      <w:r w:rsidRPr="004C736C">
        <w:rPr>
          <w:rFonts w:ascii="Times New Roman" w:eastAsia="Times New Roman" w:hAnsi="Times New Roman" w:cs="Times New Roman"/>
          <w:b/>
          <w:spacing w:val="-2"/>
          <w:sz w:val="28"/>
          <w:szCs w:val="28"/>
          <w:lang w:val="uk-UA" w:eastAsia="ar-SA"/>
        </w:rPr>
        <w:t xml:space="preserve">Ярош Н. Р. </w:t>
      </w:r>
      <w:proofErr w:type="spellStart"/>
      <w:r w:rsidRPr="004C736C">
        <w:rPr>
          <w:rFonts w:ascii="Times New Roman" w:eastAsia="Times New Roman" w:hAnsi="Times New Roman" w:cs="Times New Roman"/>
          <w:spacing w:val="-2"/>
          <w:sz w:val="28"/>
          <w:szCs w:val="28"/>
          <w:lang w:val="uk-UA" w:eastAsia="ar-SA"/>
        </w:rPr>
        <w:t>Лінвокультурні</w:t>
      </w:r>
      <w:proofErr w:type="spellEnd"/>
      <w:r w:rsidRPr="004C736C">
        <w:rPr>
          <w:rFonts w:ascii="Times New Roman" w:eastAsia="Times New Roman" w:hAnsi="Times New Roman" w:cs="Times New Roman"/>
          <w:spacing w:val="-2"/>
          <w:sz w:val="28"/>
          <w:szCs w:val="28"/>
          <w:lang w:val="uk-UA" w:eastAsia="ar-SA"/>
        </w:rPr>
        <w:t xml:space="preserve"> виміри </w:t>
      </w:r>
      <w:proofErr w:type="spellStart"/>
      <w:r w:rsidRPr="004C736C">
        <w:rPr>
          <w:rFonts w:ascii="Times New Roman" w:eastAsia="Times New Roman" w:hAnsi="Times New Roman" w:cs="Times New Roman"/>
          <w:spacing w:val="-2"/>
          <w:sz w:val="28"/>
          <w:szCs w:val="28"/>
          <w:lang w:val="uk-UA" w:eastAsia="ar-SA"/>
        </w:rPr>
        <w:t>кольорем</w:t>
      </w:r>
      <w:proofErr w:type="spellEnd"/>
      <w:r w:rsidRPr="004C736C">
        <w:rPr>
          <w:rFonts w:ascii="Times New Roman" w:eastAsia="Times New Roman" w:hAnsi="Times New Roman" w:cs="Times New Roman"/>
          <w:spacing w:val="-2"/>
          <w:sz w:val="28"/>
          <w:szCs w:val="28"/>
          <w:lang w:val="uk-UA" w:eastAsia="ar-SA"/>
        </w:rPr>
        <w:t xml:space="preserve"> в українській малій прозі: </w:t>
      </w:r>
      <w:r w:rsidRPr="004C736C">
        <w:rPr>
          <w:rFonts w:ascii="Times New Roman" w:eastAsia="Times New Roman" w:hAnsi="Times New Roman" w:cs="Times New Roman"/>
          <w:bCs/>
          <w:spacing w:val="-2"/>
          <w:sz w:val="28"/>
          <w:szCs w:val="28"/>
          <w:lang w:val="uk-UA" w:eastAsia="ar-SA"/>
        </w:rPr>
        <w:t>кваліфікаційна робота на здобуття освітнього ступеня «магістр» зі спеціальності 014 Середня освіта. Тернопіль: ТНПУ, 2025. 8</w:t>
      </w:r>
      <w:r w:rsidRPr="004C736C">
        <w:rPr>
          <w:rFonts w:ascii="Times New Roman" w:eastAsia="Times New Roman" w:hAnsi="Times New Roman" w:cs="Times New Roman"/>
          <w:bCs/>
          <w:spacing w:val="-2"/>
          <w:sz w:val="28"/>
          <w:szCs w:val="28"/>
          <w:lang w:eastAsia="ar-SA"/>
        </w:rPr>
        <w:t>7</w:t>
      </w:r>
      <w:r w:rsidRPr="004C736C">
        <w:rPr>
          <w:rFonts w:ascii="Times New Roman" w:eastAsia="Times New Roman" w:hAnsi="Times New Roman" w:cs="Times New Roman"/>
          <w:bCs/>
          <w:spacing w:val="-2"/>
          <w:sz w:val="28"/>
          <w:szCs w:val="28"/>
          <w:lang w:val="uk-UA" w:eastAsia="ar-SA"/>
        </w:rPr>
        <w:t xml:space="preserve"> с.</w:t>
      </w:r>
      <w:bookmarkStart w:id="0" w:name="_GoBack"/>
      <w:bookmarkEnd w:id="0"/>
    </w:p>
    <w:p w:rsidR="004C736C" w:rsidRPr="004C736C" w:rsidRDefault="004C736C" w:rsidP="004C736C">
      <w:pPr>
        <w:keepNext/>
        <w:suppressAutoHyphens/>
        <w:spacing w:after="0" w:line="360" w:lineRule="auto"/>
        <w:ind w:firstLine="567"/>
        <w:jc w:val="both"/>
        <w:rPr>
          <w:rFonts w:ascii="Times New Roman" w:eastAsia="Times New Roman" w:hAnsi="Times New Roman" w:cs="Times New Roman"/>
          <w:spacing w:val="-2"/>
          <w:sz w:val="28"/>
          <w:szCs w:val="28"/>
          <w:lang w:val="uk-UA" w:eastAsia="ar-SA"/>
        </w:rPr>
      </w:pPr>
      <w:r w:rsidRPr="004C736C">
        <w:rPr>
          <w:rFonts w:ascii="Times New Roman" w:eastAsia="Times New Roman" w:hAnsi="Times New Roman" w:cs="Times New Roman"/>
          <w:spacing w:val="-2"/>
          <w:sz w:val="28"/>
          <w:szCs w:val="28"/>
          <w:lang w:val="uk-UA" w:eastAsia="ar-SA"/>
        </w:rPr>
        <w:t xml:space="preserve">У дослідженні розглянуто </w:t>
      </w:r>
      <w:proofErr w:type="spellStart"/>
      <w:r w:rsidRPr="004C736C">
        <w:rPr>
          <w:rFonts w:ascii="Times New Roman" w:eastAsia="Times New Roman" w:hAnsi="Times New Roman" w:cs="Times New Roman"/>
          <w:spacing w:val="-2"/>
          <w:sz w:val="28"/>
          <w:szCs w:val="28"/>
          <w:lang w:val="uk-UA" w:eastAsia="ar-SA"/>
        </w:rPr>
        <w:t>лінгвокультурну</w:t>
      </w:r>
      <w:proofErr w:type="spellEnd"/>
      <w:r w:rsidRPr="004C736C">
        <w:rPr>
          <w:rFonts w:ascii="Times New Roman" w:eastAsia="Times New Roman" w:hAnsi="Times New Roman" w:cs="Times New Roman"/>
          <w:spacing w:val="-2"/>
          <w:sz w:val="28"/>
          <w:szCs w:val="28"/>
          <w:lang w:val="uk-UA" w:eastAsia="ar-SA"/>
        </w:rPr>
        <w:t xml:space="preserve"> природу </w:t>
      </w:r>
      <w:proofErr w:type="spellStart"/>
      <w:r w:rsidRPr="004C736C">
        <w:rPr>
          <w:rFonts w:ascii="Times New Roman" w:eastAsia="Times New Roman" w:hAnsi="Times New Roman" w:cs="Times New Roman"/>
          <w:spacing w:val="-2"/>
          <w:sz w:val="28"/>
          <w:szCs w:val="28"/>
          <w:lang w:val="uk-UA" w:eastAsia="ar-SA"/>
        </w:rPr>
        <w:t>кольорем</w:t>
      </w:r>
      <w:proofErr w:type="spellEnd"/>
      <w:r w:rsidRPr="004C736C">
        <w:rPr>
          <w:rFonts w:ascii="Times New Roman" w:eastAsia="Times New Roman" w:hAnsi="Times New Roman" w:cs="Times New Roman"/>
          <w:spacing w:val="-2"/>
          <w:sz w:val="28"/>
          <w:szCs w:val="28"/>
          <w:lang w:val="uk-UA" w:eastAsia="ar-SA"/>
        </w:rPr>
        <w:t xml:space="preserve"> у художній мові Бориса Харчука. Проведено структурно-семантичний аналіз </w:t>
      </w:r>
      <w:proofErr w:type="spellStart"/>
      <w:r w:rsidRPr="004C736C">
        <w:rPr>
          <w:rFonts w:ascii="Times New Roman" w:eastAsia="Times New Roman" w:hAnsi="Times New Roman" w:cs="Times New Roman"/>
          <w:spacing w:val="-2"/>
          <w:sz w:val="28"/>
          <w:szCs w:val="28"/>
          <w:lang w:val="uk-UA" w:eastAsia="ar-SA"/>
        </w:rPr>
        <w:t>кольороназв</w:t>
      </w:r>
      <w:proofErr w:type="spellEnd"/>
      <w:r w:rsidRPr="004C736C">
        <w:rPr>
          <w:rFonts w:ascii="Times New Roman" w:eastAsia="Times New Roman" w:hAnsi="Times New Roman" w:cs="Times New Roman"/>
          <w:spacing w:val="-2"/>
          <w:sz w:val="28"/>
          <w:szCs w:val="28"/>
          <w:lang w:val="uk-UA" w:eastAsia="ar-SA"/>
        </w:rPr>
        <w:t>, встановлено їхнє символічне значення, з’ясовано роль</w:t>
      </w:r>
      <w:r w:rsidRPr="004C736C">
        <w:rPr>
          <w:rFonts w:ascii="Times New Roman" w:eastAsia="Times New Roman" w:hAnsi="Times New Roman" w:cs="Times New Roman"/>
          <w:sz w:val="28"/>
          <w:szCs w:val="20"/>
          <w:lang w:val="uk-UA" w:eastAsia="ar-SA"/>
        </w:rPr>
        <w:t xml:space="preserve"> </w:t>
      </w:r>
      <w:r w:rsidRPr="004C736C">
        <w:rPr>
          <w:rFonts w:ascii="Times New Roman" w:eastAsia="Times New Roman" w:hAnsi="Times New Roman" w:cs="Times New Roman"/>
          <w:spacing w:val="-2"/>
          <w:sz w:val="28"/>
          <w:szCs w:val="28"/>
          <w:lang w:val="uk-UA" w:eastAsia="ar-SA"/>
        </w:rPr>
        <w:t xml:space="preserve">і місце </w:t>
      </w:r>
      <w:proofErr w:type="spellStart"/>
      <w:r w:rsidRPr="004C736C">
        <w:rPr>
          <w:rFonts w:ascii="Times New Roman" w:eastAsia="Times New Roman" w:hAnsi="Times New Roman" w:cs="Times New Roman"/>
          <w:spacing w:val="-2"/>
          <w:sz w:val="28"/>
          <w:szCs w:val="28"/>
          <w:lang w:val="uk-UA" w:eastAsia="ar-SA"/>
        </w:rPr>
        <w:t>кольоропозначень</w:t>
      </w:r>
      <w:proofErr w:type="spellEnd"/>
      <w:r w:rsidRPr="004C736C">
        <w:rPr>
          <w:rFonts w:ascii="Times New Roman" w:eastAsia="Times New Roman" w:hAnsi="Times New Roman" w:cs="Times New Roman"/>
          <w:spacing w:val="-2"/>
          <w:sz w:val="28"/>
          <w:szCs w:val="28"/>
          <w:lang w:val="uk-UA" w:eastAsia="ar-SA"/>
        </w:rPr>
        <w:t xml:space="preserve"> у загальномовній та індивідуально-авторській картинах світу. Виявлено функціональні особливості </w:t>
      </w:r>
      <w:proofErr w:type="spellStart"/>
      <w:r w:rsidRPr="004C736C">
        <w:rPr>
          <w:rFonts w:ascii="Times New Roman" w:eastAsia="Times New Roman" w:hAnsi="Times New Roman" w:cs="Times New Roman"/>
          <w:spacing w:val="-2"/>
          <w:sz w:val="28"/>
          <w:szCs w:val="28"/>
          <w:lang w:val="uk-UA" w:eastAsia="ar-SA"/>
        </w:rPr>
        <w:t>кольороназв</w:t>
      </w:r>
      <w:proofErr w:type="spellEnd"/>
      <w:r w:rsidRPr="004C736C">
        <w:rPr>
          <w:rFonts w:ascii="Times New Roman" w:eastAsia="Times New Roman" w:hAnsi="Times New Roman" w:cs="Times New Roman"/>
          <w:spacing w:val="-2"/>
          <w:sz w:val="28"/>
          <w:szCs w:val="28"/>
          <w:lang w:val="uk-UA" w:eastAsia="ar-SA"/>
        </w:rPr>
        <w:t xml:space="preserve"> у малій прозі письменника, зокрема специфіку їхньої реалізації в епітетах, метафорах, контрастних конструкціях та фразеологізмах. Встановлено, що дослідження </w:t>
      </w:r>
      <w:proofErr w:type="spellStart"/>
      <w:r w:rsidRPr="004C736C">
        <w:rPr>
          <w:rFonts w:ascii="Times New Roman" w:eastAsia="Times New Roman" w:hAnsi="Times New Roman" w:cs="Times New Roman"/>
          <w:spacing w:val="-2"/>
          <w:sz w:val="28"/>
          <w:szCs w:val="28"/>
          <w:lang w:val="uk-UA" w:eastAsia="ar-SA"/>
        </w:rPr>
        <w:t>кольоронайменувань</w:t>
      </w:r>
      <w:proofErr w:type="spellEnd"/>
      <w:r w:rsidRPr="004C736C">
        <w:rPr>
          <w:rFonts w:ascii="Times New Roman" w:eastAsia="Times New Roman" w:hAnsi="Times New Roman" w:cs="Times New Roman"/>
          <w:spacing w:val="-2"/>
          <w:sz w:val="28"/>
          <w:szCs w:val="28"/>
          <w:lang w:val="uk-UA" w:eastAsia="ar-SA"/>
        </w:rPr>
        <w:t xml:space="preserve"> у прозових текстах Б. Харчука дає змогу з’ясувати не лише їхні </w:t>
      </w:r>
      <w:proofErr w:type="spellStart"/>
      <w:r w:rsidRPr="004C736C">
        <w:rPr>
          <w:rFonts w:ascii="Times New Roman" w:eastAsia="Times New Roman" w:hAnsi="Times New Roman" w:cs="Times New Roman"/>
          <w:spacing w:val="-2"/>
          <w:sz w:val="28"/>
          <w:szCs w:val="28"/>
          <w:lang w:val="uk-UA" w:eastAsia="ar-SA"/>
        </w:rPr>
        <w:t>лінгвокультурні</w:t>
      </w:r>
      <w:proofErr w:type="spellEnd"/>
      <w:r w:rsidRPr="004C736C">
        <w:rPr>
          <w:rFonts w:ascii="Times New Roman" w:eastAsia="Times New Roman" w:hAnsi="Times New Roman" w:cs="Times New Roman"/>
          <w:spacing w:val="-2"/>
          <w:sz w:val="28"/>
          <w:szCs w:val="28"/>
          <w:lang w:val="uk-UA" w:eastAsia="ar-SA"/>
        </w:rPr>
        <w:t xml:space="preserve"> виміри, але й особливості певної епохи. </w:t>
      </w:r>
    </w:p>
    <w:p w:rsidR="004C736C" w:rsidRPr="004C736C" w:rsidRDefault="004C736C" w:rsidP="004C736C">
      <w:pPr>
        <w:keepNext/>
        <w:suppressAutoHyphens/>
        <w:spacing w:after="0" w:line="360" w:lineRule="auto"/>
        <w:ind w:firstLine="567"/>
        <w:jc w:val="both"/>
        <w:rPr>
          <w:rFonts w:ascii="Times New Roman" w:eastAsia="Times New Roman" w:hAnsi="Times New Roman" w:cs="Times New Roman"/>
          <w:spacing w:val="-2"/>
          <w:sz w:val="28"/>
          <w:szCs w:val="28"/>
          <w:lang w:val="uk-UA" w:eastAsia="ar-SA"/>
        </w:rPr>
      </w:pPr>
    </w:p>
    <w:p w:rsidR="004C736C" w:rsidRPr="004C736C" w:rsidRDefault="004C736C" w:rsidP="004C736C">
      <w:pPr>
        <w:keepNext/>
        <w:suppressAutoHyphens/>
        <w:spacing w:after="0" w:line="360" w:lineRule="auto"/>
        <w:ind w:firstLine="567"/>
        <w:jc w:val="both"/>
        <w:rPr>
          <w:rFonts w:ascii="Times New Roman" w:eastAsia="Times New Roman" w:hAnsi="Times New Roman" w:cs="Times New Roman"/>
          <w:b/>
          <w:spacing w:val="-2"/>
          <w:sz w:val="36"/>
          <w:szCs w:val="28"/>
          <w:lang w:val="uk-UA" w:eastAsia="ar-SA"/>
        </w:rPr>
      </w:pPr>
      <w:r w:rsidRPr="004C736C">
        <w:rPr>
          <w:rFonts w:ascii="Times New Roman" w:eastAsia="Times New Roman" w:hAnsi="Times New Roman" w:cs="Times New Roman"/>
          <w:b/>
          <w:spacing w:val="-2"/>
          <w:sz w:val="28"/>
          <w:szCs w:val="28"/>
          <w:lang w:val="uk-UA" w:eastAsia="ar-SA"/>
        </w:rPr>
        <w:t>Ключові слова:</w:t>
      </w:r>
      <w:r w:rsidRPr="004C736C">
        <w:rPr>
          <w:rFonts w:ascii="Times New Roman" w:eastAsia="Times New Roman" w:hAnsi="Times New Roman" w:cs="Times New Roman"/>
          <w:spacing w:val="-2"/>
          <w:sz w:val="28"/>
          <w:szCs w:val="28"/>
          <w:lang w:val="uk-UA" w:eastAsia="ar-SA"/>
        </w:rPr>
        <w:t xml:space="preserve"> </w:t>
      </w:r>
      <w:proofErr w:type="spellStart"/>
      <w:r w:rsidRPr="004C736C">
        <w:rPr>
          <w:rFonts w:ascii="Times New Roman" w:eastAsia="Times New Roman" w:hAnsi="Times New Roman" w:cs="Times New Roman"/>
          <w:spacing w:val="-2"/>
          <w:sz w:val="28"/>
          <w:szCs w:val="28"/>
          <w:lang w:val="uk-UA" w:eastAsia="ar-SA"/>
        </w:rPr>
        <w:t>кольорема</w:t>
      </w:r>
      <w:proofErr w:type="spellEnd"/>
      <w:r w:rsidRPr="004C736C">
        <w:rPr>
          <w:rFonts w:ascii="Times New Roman" w:eastAsia="Times New Roman" w:hAnsi="Times New Roman" w:cs="Times New Roman"/>
          <w:spacing w:val="-2"/>
          <w:sz w:val="28"/>
          <w:szCs w:val="28"/>
          <w:lang w:val="uk-UA" w:eastAsia="ar-SA"/>
        </w:rPr>
        <w:t xml:space="preserve">, семантика кольору, колірна картина світу, </w:t>
      </w:r>
      <w:proofErr w:type="spellStart"/>
      <w:r w:rsidRPr="004C736C">
        <w:rPr>
          <w:rFonts w:ascii="Times New Roman" w:eastAsia="Times New Roman" w:hAnsi="Times New Roman" w:cs="Times New Roman"/>
          <w:spacing w:val="-2"/>
          <w:sz w:val="28"/>
          <w:szCs w:val="28"/>
          <w:lang w:val="uk-UA" w:eastAsia="ar-SA"/>
        </w:rPr>
        <w:t>етнолінгвокультурна</w:t>
      </w:r>
      <w:proofErr w:type="spellEnd"/>
      <w:r w:rsidRPr="004C736C">
        <w:rPr>
          <w:rFonts w:ascii="Times New Roman" w:eastAsia="Times New Roman" w:hAnsi="Times New Roman" w:cs="Times New Roman"/>
          <w:spacing w:val="-2"/>
          <w:sz w:val="28"/>
          <w:szCs w:val="28"/>
          <w:lang w:val="uk-UA" w:eastAsia="ar-SA"/>
        </w:rPr>
        <w:t xml:space="preserve"> природа, символічне значення, функціональні особливості.</w:t>
      </w: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both"/>
        <w:rPr>
          <w:rFonts w:ascii="Calibri" w:eastAsia="Times New Roman" w:hAnsi="Calibri" w:cs="Times New Roman"/>
          <w:lang w:val="uk-UA" w:eastAsia="ar-SA"/>
        </w:rPr>
      </w:pPr>
    </w:p>
    <w:p w:rsidR="004C736C" w:rsidRPr="004C736C" w:rsidRDefault="004C736C" w:rsidP="004C736C">
      <w:pPr>
        <w:suppressAutoHyphens/>
        <w:spacing w:after="0" w:line="360" w:lineRule="auto"/>
        <w:ind w:left="360"/>
        <w:jc w:val="center"/>
        <w:rPr>
          <w:rFonts w:ascii="Calibri" w:eastAsia="Times New Roman" w:hAnsi="Calibri" w:cs="Times New Roman"/>
          <w:lang w:val="uk-UA" w:eastAsia="ar-SA"/>
        </w:rPr>
      </w:pPr>
      <w:r w:rsidRPr="004C736C">
        <w:rPr>
          <w:rFonts w:ascii="Times New Roman" w:eastAsia="Times New Roman" w:hAnsi="Times New Roman" w:cs="Times New Roman"/>
          <w:b/>
          <w:bCs/>
          <w:sz w:val="28"/>
          <w:szCs w:val="28"/>
          <w:lang w:val="en-US" w:eastAsia="ar-SA"/>
        </w:rPr>
        <w:t>ABSTRACT</w:t>
      </w:r>
    </w:p>
    <w:p w:rsidR="004C736C" w:rsidRPr="004C736C" w:rsidRDefault="004C736C" w:rsidP="004C736C">
      <w:pPr>
        <w:suppressAutoHyphens/>
        <w:spacing w:after="0" w:line="360" w:lineRule="auto"/>
        <w:ind w:left="357" w:firstLine="709"/>
        <w:contextualSpacing/>
        <w:jc w:val="both"/>
        <w:rPr>
          <w:rFonts w:ascii="Times New Roman" w:eastAsia="Times New Roman" w:hAnsi="Times New Roman" w:cs="Times New Roman"/>
          <w:sz w:val="28"/>
          <w:lang w:val="en-US" w:eastAsia="ar-SA"/>
        </w:rPr>
      </w:pPr>
      <w:proofErr w:type="spellStart"/>
      <w:r w:rsidRPr="004C736C">
        <w:rPr>
          <w:rFonts w:ascii="Times New Roman" w:eastAsia="Times New Roman" w:hAnsi="Times New Roman" w:cs="Times New Roman"/>
          <w:b/>
          <w:sz w:val="28"/>
          <w:lang w:val="en-US" w:eastAsia="ar-SA"/>
        </w:rPr>
        <w:lastRenderedPageBreak/>
        <w:t>Yarosh</w:t>
      </w:r>
      <w:proofErr w:type="spellEnd"/>
      <w:r w:rsidRPr="004C736C">
        <w:rPr>
          <w:rFonts w:ascii="Times New Roman" w:eastAsia="Times New Roman" w:hAnsi="Times New Roman" w:cs="Times New Roman"/>
          <w:b/>
          <w:sz w:val="28"/>
          <w:lang w:val="en-US" w:eastAsia="ar-SA"/>
        </w:rPr>
        <w:t xml:space="preserve"> N.</w:t>
      </w:r>
      <w:r w:rsidRPr="004C736C">
        <w:rPr>
          <w:rFonts w:ascii="Times New Roman" w:eastAsia="Times New Roman" w:hAnsi="Times New Roman" w:cs="Times New Roman"/>
          <w:sz w:val="28"/>
          <w:lang w:val="en-US" w:eastAsia="ar-SA"/>
        </w:rPr>
        <w:t xml:space="preserve"> </w:t>
      </w:r>
      <w:proofErr w:type="spellStart"/>
      <w:r w:rsidRPr="004C736C">
        <w:rPr>
          <w:rFonts w:ascii="Times New Roman" w:eastAsia="Times New Roman" w:hAnsi="Times New Roman" w:cs="Times New Roman"/>
          <w:sz w:val="28"/>
          <w:lang w:val="en-US" w:eastAsia="ar-SA"/>
        </w:rPr>
        <w:t>Linguocultural</w:t>
      </w:r>
      <w:proofErr w:type="spellEnd"/>
      <w:r w:rsidRPr="004C736C">
        <w:rPr>
          <w:rFonts w:ascii="Times New Roman" w:eastAsia="Times New Roman" w:hAnsi="Times New Roman" w:cs="Times New Roman"/>
          <w:sz w:val="28"/>
          <w:lang w:val="en-US" w:eastAsia="ar-SA"/>
        </w:rPr>
        <w:t xml:space="preserve"> Dimensions of Color Units in Ukrainian Short Prose: qualification thesis for obtaining the educational degree “Master” in specialty 014 Secondary Education. Ternopil: TNPU, 2025. </w:t>
      </w:r>
      <w:proofErr w:type="gramStart"/>
      <w:r w:rsidRPr="004C736C">
        <w:rPr>
          <w:rFonts w:ascii="Times New Roman" w:eastAsia="Times New Roman" w:hAnsi="Times New Roman" w:cs="Times New Roman"/>
          <w:sz w:val="28"/>
          <w:lang w:val="en-US" w:eastAsia="ar-SA"/>
        </w:rPr>
        <w:t>87</w:t>
      </w:r>
      <w:proofErr w:type="gramEnd"/>
      <w:r w:rsidRPr="004C736C">
        <w:rPr>
          <w:rFonts w:ascii="Times New Roman" w:eastAsia="Times New Roman" w:hAnsi="Times New Roman" w:cs="Times New Roman"/>
          <w:sz w:val="28"/>
          <w:lang w:val="en-US" w:eastAsia="ar-SA"/>
        </w:rPr>
        <w:t xml:space="preserve"> p.</w:t>
      </w:r>
    </w:p>
    <w:p w:rsidR="004C736C" w:rsidRPr="004C736C" w:rsidRDefault="004C736C" w:rsidP="004C736C">
      <w:pPr>
        <w:suppressAutoHyphens/>
        <w:spacing w:after="0" w:line="360" w:lineRule="auto"/>
        <w:ind w:left="357" w:firstLine="709"/>
        <w:contextualSpacing/>
        <w:jc w:val="both"/>
        <w:rPr>
          <w:rFonts w:ascii="Times New Roman" w:eastAsia="Times New Roman" w:hAnsi="Times New Roman" w:cs="Times New Roman"/>
          <w:sz w:val="28"/>
          <w:lang w:val="en-US" w:eastAsia="ar-SA"/>
        </w:rPr>
      </w:pPr>
      <w:r w:rsidRPr="004C736C">
        <w:rPr>
          <w:rFonts w:ascii="Times New Roman" w:eastAsia="Times New Roman" w:hAnsi="Times New Roman" w:cs="Times New Roman"/>
          <w:sz w:val="28"/>
          <w:lang w:val="en-US" w:eastAsia="ar-SA"/>
        </w:rPr>
        <w:t xml:space="preserve">The study examines the </w:t>
      </w:r>
      <w:proofErr w:type="spellStart"/>
      <w:r w:rsidRPr="004C736C">
        <w:rPr>
          <w:rFonts w:ascii="Times New Roman" w:eastAsia="Times New Roman" w:hAnsi="Times New Roman" w:cs="Times New Roman"/>
          <w:sz w:val="28"/>
          <w:lang w:val="en-US" w:eastAsia="ar-SA"/>
        </w:rPr>
        <w:t>linguocultural</w:t>
      </w:r>
      <w:proofErr w:type="spellEnd"/>
      <w:r w:rsidRPr="004C736C">
        <w:rPr>
          <w:rFonts w:ascii="Times New Roman" w:eastAsia="Times New Roman" w:hAnsi="Times New Roman" w:cs="Times New Roman"/>
          <w:sz w:val="28"/>
          <w:lang w:val="en-US" w:eastAsia="ar-SA"/>
        </w:rPr>
        <w:t xml:space="preserve"> nature of color units in the artistic language of </w:t>
      </w:r>
      <w:proofErr w:type="spellStart"/>
      <w:r w:rsidRPr="004C736C">
        <w:rPr>
          <w:rFonts w:ascii="Times New Roman" w:eastAsia="Times New Roman" w:hAnsi="Times New Roman" w:cs="Times New Roman"/>
          <w:sz w:val="28"/>
          <w:lang w:val="en-US" w:eastAsia="ar-SA"/>
        </w:rPr>
        <w:t>Borys</w:t>
      </w:r>
      <w:proofErr w:type="spellEnd"/>
      <w:r w:rsidRPr="004C736C">
        <w:rPr>
          <w:rFonts w:ascii="Times New Roman" w:eastAsia="Times New Roman" w:hAnsi="Times New Roman" w:cs="Times New Roman"/>
          <w:sz w:val="28"/>
          <w:lang w:val="en-US" w:eastAsia="ar-SA"/>
        </w:rPr>
        <w:t xml:space="preserve"> </w:t>
      </w:r>
      <w:proofErr w:type="spellStart"/>
      <w:r w:rsidRPr="004C736C">
        <w:rPr>
          <w:rFonts w:ascii="Times New Roman" w:eastAsia="Times New Roman" w:hAnsi="Times New Roman" w:cs="Times New Roman"/>
          <w:sz w:val="28"/>
          <w:lang w:val="en-US" w:eastAsia="ar-SA"/>
        </w:rPr>
        <w:t>Kharchuk</w:t>
      </w:r>
      <w:proofErr w:type="spellEnd"/>
      <w:r w:rsidRPr="004C736C">
        <w:rPr>
          <w:rFonts w:ascii="Times New Roman" w:eastAsia="Times New Roman" w:hAnsi="Times New Roman" w:cs="Times New Roman"/>
          <w:sz w:val="28"/>
          <w:lang w:val="en-US" w:eastAsia="ar-SA"/>
        </w:rPr>
        <w:t xml:space="preserve">. A structural-semantic analysis of color names </w:t>
      </w:r>
      <w:proofErr w:type="gramStart"/>
      <w:r w:rsidRPr="004C736C">
        <w:rPr>
          <w:rFonts w:ascii="Times New Roman" w:eastAsia="Times New Roman" w:hAnsi="Times New Roman" w:cs="Times New Roman"/>
          <w:sz w:val="28"/>
          <w:lang w:val="en-US" w:eastAsia="ar-SA"/>
        </w:rPr>
        <w:t>has been carried out</w:t>
      </w:r>
      <w:proofErr w:type="gramEnd"/>
      <w:r w:rsidRPr="004C736C">
        <w:rPr>
          <w:rFonts w:ascii="Times New Roman" w:eastAsia="Times New Roman" w:hAnsi="Times New Roman" w:cs="Times New Roman"/>
          <w:sz w:val="28"/>
          <w:lang w:val="en-US" w:eastAsia="ar-SA"/>
        </w:rPr>
        <w:t xml:space="preserve">, their symbolic meanings have been identified, and the role and place of color designations in both the general linguistic and the individual author’s worldview have been clarified. The functional features of color names in the writer’s short prose </w:t>
      </w:r>
      <w:proofErr w:type="gramStart"/>
      <w:r w:rsidRPr="004C736C">
        <w:rPr>
          <w:rFonts w:ascii="Times New Roman" w:eastAsia="Times New Roman" w:hAnsi="Times New Roman" w:cs="Times New Roman"/>
          <w:sz w:val="28"/>
          <w:lang w:val="en-US" w:eastAsia="ar-SA"/>
        </w:rPr>
        <w:t>are revealed</w:t>
      </w:r>
      <w:proofErr w:type="gramEnd"/>
      <w:r w:rsidRPr="004C736C">
        <w:rPr>
          <w:rFonts w:ascii="Times New Roman" w:eastAsia="Times New Roman" w:hAnsi="Times New Roman" w:cs="Times New Roman"/>
          <w:sz w:val="28"/>
          <w:lang w:val="en-US" w:eastAsia="ar-SA"/>
        </w:rPr>
        <w:t xml:space="preserve">, in particular the specifics of their realization in epithets, metaphors, contrastive constructions, and phraseological units. It </w:t>
      </w:r>
      <w:proofErr w:type="gramStart"/>
      <w:r w:rsidRPr="004C736C">
        <w:rPr>
          <w:rFonts w:ascii="Times New Roman" w:eastAsia="Times New Roman" w:hAnsi="Times New Roman" w:cs="Times New Roman"/>
          <w:sz w:val="28"/>
          <w:lang w:val="en-US" w:eastAsia="ar-SA"/>
        </w:rPr>
        <w:t>has been established</w:t>
      </w:r>
      <w:proofErr w:type="gramEnd"/>
      <w:r w:rsidRPr="004C736C">
        <w:rPr>
          <w:rFonts w:ascii="Times New Roman" w:eastAsia="Times New Roman" w:hAnsi="Times New Roman" w:cs="Times New Roman"/>
          <w:sz w:val="28"/>
          <w:lang w:val="en-US" w:eastAsia="ar-SA"/>
        </w:rPr>
        <w:t xml:space="preserve"> that exploring color designations in B. </w:t>
      </w:r>
      <w:proofErr w:type="spellStart"/>
      <w:r w:rsidRPr="004C736C">
        <w:rPr>
          <w:rFonts w:ascii="Times New Roman" w:eastAsia="Times New Roman" w:hAnsi="Times New Roman" w:cs="Times New Roman"/>
          <w:sz w:val="28"/>
          <w:lang w:val="en-US" w:eastAsia="ar-SA"/>
        </w:rPr>
        <w:t>Kharchuk’s</w:t>
      </w:r>
      <w:proofErr w:type="spellEnd"/>
      <w:r w:rsidRPr="004C736C">
        <w:rPr>
          <w:rFonts w:ascii="Times New Roman" w:eastAsia="Times New Roman" w:hAnsi="Times New Roman" w:cs="Times New Roman"/>
          <w:sz w:val="28"/>
          <w:lang w:val="en-US" w:eastAsia="ar-SA"/>
        </w:rPr>
        <w:t xml:space="preserve"> prose texts makes it possible to determine not only their </w:t>
      </w:r>
      <w:proofErr w:type="spellStart"/>
      <w:r w:rsidRPr="004C736C">
        <w:rPr>
          <w:rFonts w:ascii="Times New Roman" w:eastAsia="Times New Roman" w:hAnsi="Times New Roman" w:cs="Times New Roman"/>
          <w:sz w:val="28"/>
          <w:lang w:val="en-US" w:eastAsia="ar-SA"/>
        </w:rPr>
        <w:t>linguocultural</w:t>
      </w:r>
      <w:proofErr w:type="spellEnd"/>
      <w:r w:rsidRPr="004C736C">
        <w:rPr>
          <w:rFonts w:ascii="Times New Roman" w:eastAsia="Times New Roman" w:hAnsi="Times New Roman" w:cs="Times New Roman"/>
          <w:sz w:val="28"/>
          <w:lang w:val="en-US" w:eastAsia="ar-SA"/>
        </w:rPr>
        <w:t xml:space="preserve"> dimensions but also characteristic features of a particular historical epoch.</w:t>
      </w:r>
    </w:p>
    <w:p w:rsidR="004C736C" w:rsidRPr="004C736C" w:rsidRDefault="004C736C" w:rsidP="004C736C">
      <w:pPr>
        <w:suppressAutoHyphens/>
        <w:spacing w:after="0" w:line="360" w:lineRule="auto"/>
        <w:ind w:left="357" w:firstLine="709"/>
        <w:contextualSpacing/>
        <w:jc w:val="both"/>
        <w:rPr>
          <w:rFonts w:ascii="Times New Roman" w:eastAsia="Times New Roman" w:hAnsi="Times New Roman" w:cs="Times New Roman"/>
          <w:sz w:val="28"/>
          <w:lang w:val="en-US" w:eastAsia="ar-SA"/>
        </w:rPr>
      </w:pPr>
    </w:p>
    <w:p w:rsidR="004C736C" w:rsidRPr="004C736C" w:rsidRDefault="004C736C" w:rsidP="004C736C">
      <w:pPr>
        <w:suppressAutoHyphens/>
        <w:spacing w:after="0" w:line="360" w:lineRule="auto"/>
        <w:ind w:left="357" w:firstLine="709"/>
        <w:contextualSpacing/>
        <w:jc w:val="both"/>
        <w:rPr>
          <w:rFonts w:ascii="Times New Roman" w:eastAsia="Times New Roman" w:hAnsi="Times New Roman" w:cs="Times New Roman"/>
          <w:sz w:val="28"/>
          <w:lang w:val="en-US" w:eastAsia="ar-SA"/>
        </w:rPr>
      </w:pPr>
      <w:r w:rsidRPr="004C736C">
        <w:rPr>
          <w:rFonts w:ascii="Times New Roman" w:eastAsia="Times New Roman" w:hAnsi="Times New Roman" w:cs="Times New Roman"/>
          <w:b/>
          <w:sz w:val="28"/>
          <w:lang w:val="en-US" w:eastAsia="ar-SA"/>
        </w:rPr>
        <w:t>Keywords:</w:t>
      </w:r>
      <w:r w:rsidRPr="004C736C">
        <w:rPr>
          <w:rFonts w:ascii="Times New Roman" w:eastAsia="Times New Roman" w:hAnsi="Times New Roman" w:cs="Times New Roman"/>
          <w:sz w:val="28"/>
          <w:lang w:val="en-US" w:eastAsia="ar-SA"/>
        </w:rPr>
        <w:t xml:space="preserve"> color unit, color semantics, color worldview, </w:t>
      </w:r>
      <w:proofErr w:type="spellStart"/>
      <w:r w:rsidRPr="004C736C">
        <w:rPr>
          <w:rFonts w:ascii="Times New Roman" w:eastAsia="Times New Roman" w:hAnsi="Times New Roman" w:cs="Times New Roman"/>
          <w:sz w:val="28"/>
          <w:lang w:val="en-US" w:eastAsia="ar-SA"/>
        </w:rPr>
        <w:t>ethnolinguocultural</w:t>
      </w:r>
      <w:proofErr w:type="spellEnd"/>
      <w:r w:rsidRPr="004C736C">
        <w:rPr>
          <w:rFonts w:ascii="Times New Roman" w:eastAsia="Times New Roman" w:hAnsi="Times New Roman" w:cs="Times New Roman"/>
          <w:sz w:val="28"/>
          <w:lang w:val="en-US" w:eastAsia="ar-SA"/>
        </w:rPr>
        <w:t xml:space="preserve"> nature, symbolic meaning, </w:t>
      </w:r>
      <w:proofErr w:type="gramStart"/>
      <w:r w:rsidRPr="004C736C">
        <w:rPr>
          <w:rFonts w:ascii="Times New Roman" w:eastAsia="Times New Roman" w:hAnsi="Times New Roman" w:cs="Times New Roman"/>
          <w:sz w:val="28"/>
          <w:lang w:val="en-US" w:eastAsia="ar-SA"/>
        </w:rPr>
        <w:t>functional</w:t>
      </w:r>
      <w:proofErr w:type="gramEnd"/>
      <w:r w:rsidRPr="004C736C">
        <w:rPr>
          <w:rFonts w:ascii="Times New Roman" w:eastAsia="Times New Roman" w:hAnsi="Times New Roman" w:cs="Times New Roman"/>
          <w:sz w:val="28"/>
          <w:lang w:val="en-US" w:eastAsia="ar-SA"/>
        </w:rPr>
        <w:t xml:space="preserve"> features.</w:t>
      </w:r>
    </w:p>
    <w:p w:rsidR="00323DC1" w:rsidRPr="004C736C" w:rsidRDefault="00323DC1">
      <w:pPr>
        <w:rPr>
          <w:lang w:val="en-US"/>
        </w:rPr>
      </w:pPr>
    </w:p>
    <w:sectPr w:rsidR="00323DC1" w:rsidRPr="004C736C">
      <w:headerReference w:type="even" r:id="rId4"/>
      <w:headerReference w:type="default" r:id="rId5"/>
      <w:footerReference w:type="even" r:id="rId6"/>
      <w:footerReference w:type="default" r:id="rId7"/>
      <w:headerReference w:type="first" r:id="rId8"/>
      <w:footerReference w:type="first" r:id="rId9"/>
      <w:pgSz w:w="11906" w:h="16838"/>
      <w:pgMar w:top="850" w:right="1133" w:bottom="850" w:left="1701" w:header="708"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A26" w:rsidRDefault="004C73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A26" w:rsidRDefault="004C73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A26" w:rsidRDefault="004C736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A26" w:rsidRDefault="004C73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A26" w:rsidRDefault="004C736C">
    <w:pPr>
      <w:pStyle w:val="a3"/>
      <w:jc w:val="right"/>
    </w:pPr>
    <w:r>
      <w:fldChar w:fldCharType="begin"/>
    </w:r>
    <w:r>
      <w:instrText xml:space="preserve"> PAGE </w:instrText>
    </w:r>
    <w:r>
      <w:fldChar w:fldCharType="separate"/>
    </w:r>
    <w:r>
      <w:rPr>
        <w:noProof/>
      </w:rPr>
      <w:t>2</w:t>
    </w:r>
    <w:r>
      <w:fldChar w:fldCharType="end"/>
    </w:r>
  </w:p>
  <w:p w:rsidR="00033A26" w:rsidRDefault="004C736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A26" w:rsidRDefault="004C73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9F"/>
    <w:rsid w:val="00323DC1"/>
    <w:rsid w:val="004C736C"/>
    <w:rsid w:val="00A5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591D2-22B4-456C-8531-554D2E96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736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Company>SPecialiST RePack</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2</cp:revision>
  <dcterms:created xsi:type="dcterms:W3CDTF">2026-01-08T08:30:00Z</dcterms:created>
  <dcterms:modified xsi:type="dcterms:W3CDTF">2026-01-08T08:30:00Z</dcterms:modified>
</cp:coreProperties>
</file>