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АНОТАЦІЇ</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Савчука Артура Івановича</w:t>
        <w:br w:type="textWrapping"/>
        <w:t xml:space="preserve">«ЗАСТОСУВАННЯ РУХЛИВИХ ІГОР У РОБОТІ ТРЕНЕРА-ПОЧАТКІВЦЯ»</w:t>
        <w:br w:type="textWrapping"/>
      </w:r>
    </w:p>
    <w:p w:rsidR="00000000" w:rsidDel="00000000" w:rsidP="00000000" w:rsidRDefault="00000000" w:rsidRPr="00000000" w14:paraId="0000000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досліджено особливості застосування рухливих ігор у професійній діяльності тренера-початківця. Проаналізовано педагогічний потенціал рухливих ігор у тренувальному процесі, їх вплив на розвиток рухових якостей, формування мотивації та підвищення зацікавленості до занять. Обґрунтовано доцільність використання рухливих ігор як ефективного засобу фізичної підготовки та адаптації осіб, що займаються, на початковому етапі навчання.</w:t>
      </w:r>
    </w:p>
    <w:p w:rsidR="00000000" w:rsidDel="00000000" w:rsidP="00000000" w:rsidRDefault="00000000" w:rsidRPr="00000000" w14:paraId="0000000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рухливі ігри, тренер-початківець, фізична підготовка, тренувальний процес.</w:t>
        <w:br w:type="textWrapping"/>
      </w:r>
    </w:p>
    <w:p w:rsidR="00000000" w:rsidDel="00000000" w:rsidP="00000000" w:rsidRDefault="00000000" w:rsidRPr="00000000" w14:paraId="0000000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Savchuk A. I.</w:t>
        <w:br w:type="textWrapping"/>
        <w:t xml:space="preserve">"APPLICATION OF ACTIVE GAMES IN THE WORK OF A BEGINNER COACH"</w:t>
        <w:br w:type="textWrapping"/>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examines the peculiarities of using active games in the professional activity of a beginner coach. The pedagogical potential of active games in the training process, their influence on the development of motor skills, motivation formation and increasing interest in physical activity are analyzed. The expediency of using active games as an effective means of physical training and adaptation at the initial stage of learning is substantiated.</w:t>
      </w:r>
    </w:p>
    <w:p w:rsidR="00000000" w:rsidDel="00000000" w:rsidP="00000000" w:rsidRDefault="00000000" w:rsidRPr="00000000" w14:paraId="0000000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active games, beginner coach, physical training, training process.</w:t>
      </w:r>
    </w:p>
    <w:sectPr>
      <w:pgSz w:h="15840" w:w="12240" w:orient="portrait"/>
      <w:pgMar w:bottom="1440" w:top="992.1259842519685" w:left="1842.51968503937"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vp91AoYGWQbqvyvY6lyZ3uMA==">CgMxLjA4AHIhMXdmd1hWYUNwVEJuV1ZaUXZpU0E1eXBGQ0p3MVVMNGll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