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E897E1" w14:textId="594A676C" w:rsidR="009B401C" w:rsidRDefault="00B7410D" w:rsidP="00B7410D">
      <w:pPr>
        <w:jc w:val="center"/>
        <w:rPr>
          <w:b/>
          <w:bCs/>
        </w:rPr>
      </w:pPr>
      <w:bookmarkStart w:id="0" w:name="_GoBack"/>
      <w:bookmarkEnd w:id="0"/>
      <w:r w:rsidRPr="00B7410D">
        <w:rPr>
          <w:b/>
          <w:bCs/>
        </w:rPr>
        <w:t>АНОТАЦІЯ</w:t>
      </w:r>
    </w:p>
    <w:p w14:paraId="7A1F8934" w14:textId="30F5F73F" w:rsidR="00B7410D" w:rsidRDefault="00B7410D" w:rsidP="00B7410D">
      <w:pPr>
        <w:spacing w:after="0" w:line="240" w:lineRule="auto"/>
        <w:ind w:firstLine="709"/>
        <w:contextualSpacing/>
        <w:jc w:val="both"/>
        <w:rPr>
          <w:b/>
        </w:rPr>
      </w:pPr>
      <w:proofErr w:type="spellStart"/>
      <w:r w:rsidRPr="00B7410D">
        <w:rPr>
          <w:b/>
        </w:rPr>
        <w:t>Здебського</w:t>
      </w:r>
      <w:proofErr w:type="spellEnd"/>
      <w:r w:rsidRPr="00B7410D">
        <w:rPr>
          <w:b/>
        </w:rPr>
        <w:t xml:space="preserve"> Дмитра Євгеновича</w:t>
      </w:r>
      <w:r w:rsidRPr="00405765">
        <w:rPr>
          <w:b/>
          <w:kern w:val="2"/>
          <w:lang w:val="ru-RU"/>
          <w14:ligatures w14:val="standardContextual"/>
        </w:rPr>
        <w:t xml:space="preserve"> </w:t>
      </w:r>
      <w:r w:rsidRPr="00405765">
        <w:rPr>
          <w:rFonts w:eastAsia="Calibri"/>
          <w:b/>
          <w:lang w:val="ru-RU"/>
        </w:rPr>
        <w:t>«</w:t>
      </w:r>
      <w:bookmarkStart w:id="1" w:name="_Hlk211028142"/>
      <w:r w:rsidRPr="00B7410D">
        <w:rPr>
          <w:rFonts w:eastAsia="Calibri"/>
          <w:b/>
          <w:bCs/>
        </w:rPr>
        <w:t>Організація і проведення фізкультурно-спортивних заходів у закладах загальної середньої освіти</w:t>
      </w:r>
      <w:bookmarkEnd w:id="1"/>
      <w:r w:rsidRPr="00B7410D">
        <w:rPr>
          <w:rFonts w:eastAsia="Calibri"/>
          <w:b/>
          <w:bCs/>
        </w:rPr>
        <w:t>»</w:t>
      </w:r>
      <w:r w:rsidRPr="00405765">
        <w:rPr>
          <w:rFonts w:eastAsia="Calibri"/>
          <w:b/>
          <w:lang w:val="ru-RU"/>
        </w:rPr>
        <w:t>.</w:t>
      </w:r>
      <w:r>
        <w:rPr>
          <w:rFonts w:eastAsia="Calibri"/>
          <w:b/>
        </w:rPr>
        <w:t xml:space="preserve"> –</w:t>
      </w:r>
      <w:r w:rsidRPr="00C34104">
        <w:rPr>
          <w:b/>
        </w:rPr>
        <w:t>Рукопис.</w:t>
      </w:r>
    </w:p>
    <w:p w14:paraId="0C7BE41E" w14:textId="77777777" w:rsidR="00B7410D" w:rsidRDefault="00B7410D" w:rsidP="00B7410D">
      <w:pPr>
        <w:spacing w:after="0" w:line="240" w:lineRule="auto"/>
        <w:ind w:firstLine="709"/>
        <w:contextualSpacing/>
        <w:jc w:val="both"/>
      </w:pPr>
      <w:r>
        <w:t xml:space="preserve">Магістерська робота (рукопис) зі спеціальності 014.11 Середня освіта (Фізична культура), кваліфікація «Викладач фізичного виховання», </w:t>
      </w:r>
      <w:r w:rsidRPr="0019435B">
        <w:t>Тернопільський національний педагогічний університет імені Володимира Гнатюка, Тернопіль, 20</w:t>
      </w:r>
      <w:r>
        <w:t>25</w:t>
      </w:r>
      <w:r w:rsidRPr="0019435B">
        <w:t>.</w:t>
      </w:r>
    </w:p>
    <w:p w14:paraId="31BA2BCB" w14:textId="77777777" w:rsidR="007E081F" w:rsidRDefault="00154B42" w:rsidP="00154B42">
      <w:pPr>
        <w:spacing w:after="0" w:line="240" w:lineRule="auto"/>
        <w:ind w:firstLine="709"/>
        <w:contextualSpacing/>
        <w:jc w:val="both"/>
      </w:pPr>
      <w:r>
        <w:t xml:space="preserve">У магістерській кваліфікаційній роботі досліджено особливості організації та проведення фізкультурно-спортивних заходів у закладах загальної середньої освіти та визначено рівень готовності вчителів фізичної культури до реалізації цього напряму діяльності. У роботі здійснено ґрунтовний аналіз науково-теоретичних джерел з проблем упровадження фізкультурно-спортивної діяльності в освітній процес, уточнено сутність основних понять, обґрунтовано методичні підходи до підготовки вчителів фізичної культури. Емпірична частина дослідження включала проведення діагностики професійної готовності педагогів за визначеними критеріями та показниками, що дало змогу охарактеризувати сучасний стан організації спортивно-масової роботи в школах. </w:t>
      </w:r>
    </w:p>
    <w:p w14:paraId="69A13D45" w14:textId="34E78A87" w:rsidR="00154B42" w:rsidRDefault="00154B42" w:rsidP="00154B42">
      <w:pPr>
        <w:spacing w:after="0" w:line="240" w:lineRule="auto"/>
        <w:ind w:firstLine="709"/>
        <w:contextualSpacing/>
        <w:jc w:val="both"/>
      </w:pPr>
      <w:r>
        <w:t>На основі отриманих результатів запропоновано рекомендації щодо підвищення рівня професійної компетентності вчителів фізичної культури та удосконалення системи проведення фізкультурно-спортивних заходів у закладах загальної середньої освіти. Робота має практичну значущість і може бути використана в діяльності педагогів, методистів, організаторів спортивно-масових заходів, а також у процесі професійної підготовки майбутніх учителів фізичної культури.</w:t>
      </w:r>
    </w:p>
    <w:p w14:paraId="41CC3080" w14:textId="3C3D4B44" w:rsidR="00154B42" w:rsidRDefault="00154B42" w:rsidP="00154B42">
      <w:pPr>
        <w:spacing w:after="0" w:line="240" w:lineRule="auto"/>
        <w:ind w:firstLine="709"/>
        <w:contextualSpacing/>
        <w:jc w:val="both"/>
      </w:pPr>
      <w:r>
        <w:t>Ключові слова: фізкультурно-спортивна діяльність; спортивно-масові заходи; вчитель фізичної культури; професійна готовність; критерії та показники готовності; заклад загальної середньої освіти; фізичне виховання.</w:t>
      </w:r>
    </w:p>
    <w:p w14:paraId="7777467F" w14:textId="77777777" w:rsidR="007E081F" w:rsidRDefault="007E081F" w:rsidP="00154B42">
      <w:pPr>
        <w:spacing w:after="0" w:line="240" w:lineRule="auto"/>
        <w:ind w:firstLine="709"/>
        <w:contextualSpacing/>
        <w:jc w:val="both"/>
      </w:pPr>
    </w:p>
    <w:p w14:paraId="126B08C1" w14:textId="77777777" w:rsidR="00415BAD" w:rsidRDefault="00415BAD" w:rsidP="00415BAD">
      <w:pPr>
        <w:spacing w:after="0" w:line="240" w:lineRule="auto"/>
        <w:ind w:firstLine="709"/>
        <w:contextualSpacing/>
        <w:jc w:val="center"/>
        <w:rPr>
          <w:b/>
          <w:bCs/>
        </w:rPr>
      </w:pPr>
      <w:proofErr w:type="spellStart"/>
      <w:r w:rsidRPr="00415BAD">
        <w:rPr>
          <w:b/>
          <w:bCs/>
        </w:rPr>
        <w:t>Annotation</w:t>
      </w:r>
      <w:proofErr w:type="spellEnd"/>
    </w:p>
    <w:p w14:paraId="7F3BE4A9" w14:textId="77777777" w:rsidR="00415BAD" w:rsidRPr="00415BAD" w:rsidRDefault="00415BAD" w:rsidP="00415BAD">
      <w:pPr>
        <w:spacing w:after="0" w:line="240" w:lineRule="auto"/>
        <w:ind w:firstLine="709"/>
        <w:contextualSpacing/>
        <w:jc w:val="center"/>
        <w:rPr>
          <w:b/>
          <w:bCs/>
        </w:rPr>
      </w:pPr>
    </w:p>
    <w:p w14:paraId="2F3B8977" w14:textId="1CB74DDD" w:rsidR="00415BAD" w:rsidRPr="00D320F6" w:rsidRDefault="00415BAD" w:rsidP="00415BAD">
      <w:pPr>
        <w:spacing w:after="0" w:line="240" w:lineRule="auto"/>
        <w:ind w:firstLine="709"/>
        <w:contextualSpacing/>
        <w:jc w:val="both"/>
        <w:rPr>
          <w:b/>
          <w:bCs/>
          <w:lang w:val="en-US"/>
        </w:rPr>
      </w:pPr>
      <w:proofErr w:type="spellStart"/>
      <w:r w:rsidRPr="00D320F6">
        <w:rPr>
          <w:b/>
          <w:bCs/>
          <w:lang w:val="en-US"/>
        </w:rPr>
        <w:t>Zdebsky</w:t>
      </w:r>
      <w:proofErr w:type="spellEnd"/>
      <w:r w:rsidRPr="00D320F6">
        <w:rPr>
          <w:b/>
          <w:bCs/>
          <w:lang w:val="en-US"/>
        </w:rPr>
        <w:t xml:space="preserve"> Dmitry </w:t>
      </w:r>
      <w:proofErr w:type="spellStart"/>
      <w:r w:rsidRPr="00D320F6">
        <w:rPr>
          <w:b/>
          <w:bCs/>
          <w:lang w:val="en-US"/>
        </w:rPr>
        <w:t>Evgenievich</w:t>
      </w:r>
      <w:proofErr w:type="spellEnd"/>
      <w:r w:rsidRPr="00D320F6">
        <w:rPr>
          <w:b/>
          <w:bCs/>
          <w:lang w:val="en-US"/>
        </w:rPr>
        <w:t xml:space="preserve"> «</w:t>
      </w:r>
      <w:r w:rsidR="00AA5977" w:rsidRPr="00D320F6">
        <w:rPr>
          <w:b/>
          <w:bCs/>
          <w:lang w:val="en-US"/>
        </w:rPr>
        <w:t>Organization</w:t>
      </w:r>
      <w:r w:rsidRPr="00D320F6">
        <w:rPr>
          <w:b/>
          <w:bCs/>
          <w:lang w:val="en-US"/>
        </w:rPr>
        <w:t xml:space="preserve"> and conduct of physical culture and sports events in general secondary education institutions » – Manuscript</w:t>
      </w:r>
    </w:p>
    <w:p w14:paraId="4DB38898" w14:textId="1A155A4C" w:rsidR="007E081F" w:rsidRPr="00D320F6" w:rsidRDefault="00415BAD" w:rsidP="00415BAD">
      <w:pPr>
        <w:spacing w:after="0" w:line="240" w:lineRule="auto"/>
        <w:ind w:firstLine="709"/>
        <w:contextualSpacing/>
        <w:jc w:val="both"/>
        <w:rPr>
          <w:lang w:val="en-US"/>
        </w:rPr>
      </w:pPr>
      <w:r w:rsidRPr="00D320F6">
        <w:rPr>
          <w:lang w:val="en-US"/>
        </w:rPr>
        <w:t>Master's thesis (manuscript) on specialty 014.11 Secondary education (Physical culture), qualification "Teacher of physical education", Ternopil National Pedagogical University named after Volodymyr Hnatyuk, Ternopil, 2025.</w:t>
      </w:r>
    </w:p>
    <w:p w14:paraId="744A9F7B" w14:textId="77777777" w:rsidR="007E081F" w:rsidRPr="007E081F" w:rsidRDefault="007E081F" w:rsidP="00415BAD">
      <w:pPr>
        <w:spacing w:after="0" w:line="240" w:lineRule="auto"/>
        <w:ind w:firstLine="709"/>
        <w:jc w:val="both"/>
        <w:rPr>
          <w:rFonts w:eastAsia="Times New Roman"/>
          <w:lang w:val="en-US" w:eastAsia="uk-UA"/>
        </w:rPr>
      </w:pPr>
      <w:r w:rsidRPr="007E081F">
        <w:rPr>
          <w:rFonts w:eastAsia="Times New Roman"/>
          <w:lang w:val="en-US" w:eastAsia="uk-UA"/>
        </w:rPr>
        <w:t xml:space="preserve">The master’s thesis examines the features of organizing and conducting physical </w:t>
      </w:r>
      <w:proofErr w:type="gramStart"/>
      <w:r w:rsidRPr="007E081F">
        <w:rPr>
          <w:rFonts w:eastAsia="Times New Roman"/>
          <w:lang w:val="en-US" w:eastAsia="uk-UA"/>
        </w:rPr>
        <w:t>culture and sports events in general secondary education institutions</w:t>
      </w:r>
      <w:proofErr w:type="gramEnd"/>
      <w:r w:rsidRPr="007E081F">
        <w:rPr>
          <w:rFonts w:eastAsia="Times New Roman"/>
          <w:lang w:val="en-US" w:eastAsia="uk-UA"/>
        </w:rPr>
        <w:t xml:space="preserve"> and analyzes the level of readiness of physical education teachers to implement this type of activity. The research provides a comprehensive review of theoretical and methodological sources related to the integration of sports and health-promoting activities into the educational process, clarifies key concepts, and substantiates modern approaches to preparing physical education teachers for the organization of sports and mass events. The empirical part of the study includes diagnostics of teachers’ professional readiness based on clearly defined criteria and indicators, which made it possible to characterize </w:t>
      </w:r>
      <w:r w:rsidRPr="007E081F">
        <w:rPr>
          <w:rFonts w:eastAsia="Times New Roman"/>
          <w:lang w:val="en-US" w:eastAsia="uk-UA"/>
        </w:rPr>
        <w:lastRenderedPageBreak/>
        <w:t xml:space="preserve">the current state of sports event organization in schools. Based on the obtained results, recommendations </w:t>
      </w:r>
      <w:proofErr w:type="gramStart"/>
      <w:r w:rsidRPr="007E081F">
        <w:rPr>
          <w:rFonts w:eastAsia="Times New Roman"/>
          <w:lang w:val="en-US" w:eastAsia="uk-UA"/>
        </w:rPr>
        <w:t>were developed</w:t>
      </w:r>
      <w:proofErr w:type="gramEnd"/>
      <w:r w:rsidRPr="007E081F">
        <w:rPr>
          <w:rFonts w:eastAsia="Times New Roman"/>
          <w:lang w:val="en-US" w:eastAsia="uk-UA"/>
        </w:rPr>
        <w:t xml:space="preserve"> to improve the professional competence of physical education teachers and to enhance the system of organizing physical culture and sports activities in general secondary education institutions. The findings have practical significance and </w:t>
      </w:r>
      <w:proofErr w:type="gramStart"/>
      <w:r w:rsidRPr="007E081F">
        <w:rPr>
          <w:rFonts w:eastAsia="Times New Roman"/>
          <w:lang w:val="en-US" w:eastAsia="uk-UA"/>
        </w:rPr>
        <w:t>can be applied</w:t>
      </w:r>
      <w:proofErr w:type="gramEnd"/>
      <w:r w:rsidRPr="007E081F">
        <w:rPr>
          <w:rFonts w:eastAsia="Times New Roman"/>
          <w:lang w:val="en-US" w:eastAsia="uk-UA"/>
        </w:rPr>
        <w:t xml:space="preserve"> in the practice of teachers, methodologists, organizers of sports events, as well as in the professional training of future physical education teachers.</w:t>
      </w:r>
    </w:p>
    <w:p w14:paraId="68B6DFFA" w14:textId="04AE1AE2" w:rsidR="007E081F" w:rsidRPr="007E081F" w:rsidRDefault="007E081F" w:rsidP="00415BAD">
      <w:pPr>
        <w:spacing w:after="0" w:line="240" w:lineRule="auto"/>
        <w:ind w:firstLine="709"/>
        <w:jc w:val="both"/>
        <w:rPr>
          <w:rFonts w:eastAsia="Times New Roman"/>
          <w:lang w:eastAsia="uk-UA"/>
        </w:rPr>
      </w:pPr>
      <w:r w:rsidRPr="007E081F">
        <w:rPr>
          <w:rFonts w:eastAsia="Times New Roman"/>
          <w:b/>
          <w:bCs/>
          <w:kern w:val="36"/>
          <w:lang w:val="en-US" w:eastAsia="uk-UA"/>
        </w:rPr>
        <w:t xml:space="preserve">Key words: </w:t>
      </w:r>
      <w:r w:rsidRPr="007E081F">
        <w:rPr>
          <w:rFonts w:eastAsia="Times New Roman"/>
          <w:lang w:val="en-US" w:eastAsia="uk-UA"/>
        </w:rPr>
        <w:t>physical culture and sports activities; sports and mass events; physical education teacher; professional readiness; criteria and indicators of readiness; general secondary education institution; physical education</w:t>
      </w:r>
      <w:r w:rsidR="00415BAD">
        <w:rPr>
          <w:rFonts w:eastAsia="Times New Roman"/>
          <w:lang w:eastAsia="uk-UA"/>
        </w:rPr>
        <w:t>.</w:t>
      </w:r>
    </w:p>
    <w:p w14:paraId="4704ED75" w14:textId="77777777" w:rsidR="007E081F" w:rsidRDefault="007E081F" w:rsidP="00154B42">
      <w:pPr>
        <w:spacing w:after="0" w:line="240" w:lineRule="auto"/>
        <w:ind w:firstLine="709"/>
        <w:contextualSpacing/>
        <w:jc w:val="both"/>
      </w:pPr>
    </w:p>
    <w:p w14:paraId="69A2253F" w14:textId="77777777" w:rsidR="00B7410D" w:rsidRPr="00B7410D" w:rsidRDefault="00B7410D"/>
    <w:sectPr w:rsidR="00B7410D" w:rsidRPr="00B7410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06C"/>
    <w:rsid w:val="00041D16"/>
    <w:rsid w:val="00154B42"/>
    <w:rsid w:val="0017706C"/>
    <w:rsid w:val="003D49D6"/>
    <w:rsid w:val="00405765"/>
    <w:rsid w:val="00415BAD"/>
    <w:rsid w:val="007D0DD6"/>
    <w:rsid w:val="007E081F"/>
    <w:rsid w:val="008E0789"/>
    <w:rsid w:val="00917052"/>
    <w:rsid w:val="009B401C"/>
    <w:rsid w:val="00AA5977"/>
    <w:rsid w:val="00B7410D"/>
    <w:rsid w:val="00C64030"/>
    <w:rsid w:val="00D320F6"/>
    <w:rsid w:val="00DC3048"/>
    <w:rsid w:val="00F079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C176F"/>
  <w15:chartTrackingRefBased/>
  <w15:docId w15:val="{EDA20B3F-5A38-4CC1-BAF2-DD508F7E6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410D"/>
    <w:pPr>
      <w:spacing w:after="200" w:line="276" w:lineRule="auto"/>
      <w:ind w:firstLine="0"/>
      <w:jc w:val="left"/>
    </w:pPr>
    <w:rPr>
      <w:rFonts w:ascii="Times New Roman" w:hAnsi="Times New Roman" w:cs="Times New Roman"/>
      <w:kern w:val="0"/>
      <w:sz w:val="28"/>
      <w:szCs w:val="28"/>
      <w14:ligatures w14:val="none"/>
    </w:rPr>
  </w:style>
  <w:style w:type="paragraph" w:styleId="1">
    <w:name w:val="heading 1"/>
    <w:basedOn w:val="a"/>
    <w:next w:val="a"/>
    <w:link w:val="10"/>
    <w:uiPriority w:val="9"/>
    <w:qFormat/>
    <w:rsid w:val="0017706C"/>
    <w:pPr>
      <w:keepNext/>
      <w:keepLines/>
      <w:spacing w:before="360" w:after="80" w:line="360" w:lineRule="auto"/>
      <w:ind w:firstLine="709"/>
      <w:jc w:val="both"/>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17706C"/>
    <w:pPr>
      <w:keepNext/>
      <w:keepLines/>
      <w:spacing w:before="160" w:after="80" w:line="360" w:lineRule="auto"/>
      <w:ind w:firstLine="709"/>
      <w:jc w:val="both"/>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17706C"/>
    <w:pPr>
      <w:keepNext/>
      <w:keepLines/>
      <w:spacing w:before="160" w:after="80" w:line="360" w:lineRule="auto"/>
      <w:ind w:firstLine="709"/>
      <w:jc w:val="both"/>
      <w:outlineLvl w:val="2"/>
    </w:pPr>
    <w:rPr>
      <w:rFonts w:asciiTheme="minorHAnsi" w:eastAsiaTheme="majorEastAsia" w:hAnsiTheme="minorHAnsi" w:cstheme="majorBidi"/>
      <w:color w:val="0F4761" w:themeColor="accent1" w:themeShade="BF"/>
      <w:kern w:val="2"/>
      <w14:ligatures w14:val="standardContextual"/>
    </w:rPr>
  </w:style>
  <w:style w:type="paragraph" w:styleId="4">
    <w:name w:val="heading 4"/>
    <w:basedOn w:val="a"/>
    <w:next w:val="a"/>
    <w:link w:val="40"/>
    <w:uiPriority w:val="9"/>
    <w:semiHidden/>
    <w:unhideWhenUsed/>
    <w:qFormat/>
    <w:rsid w:val="0017706C"/>
    <w:pPr>
      <w:keepNext/>
      <w:keepLines/>
      <w:spacing w:before="80" w:after="40" w:line="360" w:lineRule="auto"/>
      <w:ind w:firstLine="709"/>
      <w:jc w:val="both"/>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17706C"/>
    <w:pPr>
      <w:keepNext/>
      <w:keepLines/>
      <w:spacing w:before="80" w:after="40" w:line="360" w:lineRule="auto"/>
      <w:ind w:firstLine="709"/>
      <w:jc w:val="both"/>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17706C"/>
    <w:pPr>
      <w:keepNext/>
      <w:keepLines/>
      <w:spacing w:before="40" w:after="0" w:line="360" w:lineRule="auto"/>
      <w:ind w:firstLine="709"/>
      <w:jc w:val="both"/>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17706C"/>
    <w:pPr>
      <w:keepNext/>
      <w:keepLines/>
      <w:spacing w:before="40" w:after="0" w:line="360" w:lineRule="auto"/>
      <w:ind w:firstLine="709"/>
      <w:jc w:val="both"/>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17706C"/>
    <w:pPr>
      <w:keepNext/>
      <w:keepLines/>
      <w:spacing w:after="0" w:line="360" w:lineRule="auto"/>
      <w:ind w:firstLine="709"/>
      <w:jc w:val="both"/>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17706C"/>
    <w:pPr>
      <w:keepNext/>
      <w:keepLines/>
      <w:spacing w:after="0" w:line="360" w:lineRule="auto"/>
      <w:ind w:firstLine="709"/>
      <w:jc w:val="both"/>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706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7706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7706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7706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7706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7706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7706C"/>
    <w:rPr>
      <w:rFonts w:eastAsiaTheme="majorEastAsia" w:cstheme="majorBidi"/>
      <w:color w:val="595959" w:themeColor="text1" w:themeTint="A6"/>
    </w:rPr>
  </w:style>
  <w:style w:type="character" w:customStyle="1" w:styleId="80">
    <w:name w:val="Заголовок 8 Знак"/>
    <w:basedOn w:val="a0"/>
    <w:link w:val="8"/>
    <w:uiPriority w:val="9"/>
    <w:semiHidden/>
    <w:rsid w:val="0017706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7706C"/>
    <w:rPr>
      <w:rFonts w:eastAsiaTheme="majorEastAsia" w:cstheme="majorBidi"/>
      <w:color w:val="272727" w:themeColor="text1" w:themeTint="D8"/>
    </w:rPr>
  </w:style>
  <w:style w:type="paragraph" w:styleId="a3">
    <w:name w:val="Title"/>
    <w:basedOn w:val="a"/>
    <w:next w:val="a"/>
    <w:link w:val="a4"/>
    <w:uiPriority w:val="10"/>
    <w:qFormat/>
    <w:rsid w:val="0017706C"/>
    <w:pPr>
      <w:spacing w:after="80" w:line="240" w:lineRule="auto"/>
      <w:ind w:firstLine="709"/>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1770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706C"/>
    <w:pPr>
      <w:numPr>
        <w:ilvl w:val="1"/>
      </w:numPr>
      <w:spacing w:after="160" w:line="360" w:lineRule="auto"/>
      <w:ind w:firstLine="709"/>
      <w:jc w:val="both"/>
    </w:pPr>
    <w:rPr>
      <w:rFonts w:asciiTheme="minorHAnsi" w:eastAsiaTheme="majorEastAsia" w:hAnsiTheme="minorHAnsi" w:cstheme="majorBidi"/>
      <w:color w:val="595959" w:themeColor="text1" w:themeTint="A6"/>
      <w:spacing w:val="15"/>
      <w:kern w:val="2"/>
      <w14:ligatures w14:val="standardContextual"/>
    </w:rPr>
  </w:style>
  <w:style w:type="character" w:customStyle="1" w:styleId="a6">
    <w:name w:val="Підзаголовок Знак"/>
    <w:basedOn w:val="a0"/>
    <w:link w:val="a5"/>
    <w:uiPriority w:val="11"/>
    <w:rsid w:val="0017706C"/>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7706C"/>
    <w:pPr>
      <w:spacing w:before="160" w:after="160" w:line="360" w:lineRule="auto"/>
      <w:ind w:firstLine="709"/>
      <w:jc w:val="center"/>
    </w:pPr>
    <w:rPr>
      <w:rFonts w:asciiTheme="minorHAnsi" w:hAnsiTheme="minorHAnsi" w:cstheme="minorBidi"/>
      <w:i/>
      <w:iCs/>
      <w:color w:val="404040" w:themeColor="text1" w:themeTint="BF"/>
      <w:kern w:val="2"/>
      <w:sz w:val="22"/>
      <w:szCs w:val="22"/>
      <w14:ligatures w14:val="standardContextual"/>
    </w:rPr>
  </w:style>
  <w:style w:type="character" w:customStyle="1" w:styleId="a8">
    <w:name w:val="Цитата Знак"/>
    <w:basedOn w:val="a0"/>
    <w:link w:val="a7"/>
    <w:uiPriority w:val="29"/>
    <w:rsid w:val="0017706C"/>
    <w:rPr>
      <w:i/>
      <w:iCs/>
      <w:color w:val="404040" w:themeColor="text1" w:themeTint="BF"/>
    </w:rPr>
  </w:style>
  <w:style w:type="paragraph" w:styleId="a9">
    <w:name w:val="List Paragraph"/>
    <w:basedOn w:val="a"/>
    <w:uiPriority w:val="34"/>
    <w:qFormat/>
    <w:rsid w:val="0017706C"/>
    <w:pPr>
      <w:spacing w:after="0" w:line="360" w:lineRule="auto"/>
      <w:ind w:left="720" w:firstLine="709"/>
      <w:contextualSpacing/>
      <w:jc w:val="both"/>
    </w:pPr>
    <w:rPr>
      <w:rFonts w:asciiTheme="minorHAnsi" w:hAnsiTheme="minorHAnsi" w:cstheme="minorBidi"/>
      <w:kern w:val="2"/>
      <w:sz w:val="22"/>
      <w:szCs w:val="22"/>
      <w14:ligatures w14:val="standardContextual"/>
    </w:rPr>
  </w:style>
  <w:style w:type="character" w:styleId="aa">
    <w:name w:val="Intense Emphasis"/>
    <w:basedOn w:val="a0"/>
    <w:uiPriority w:val="21"/>
    <w:qFormat/>
    <w:rsid w:val="0017706C"/>
    <w:rPr>
      <w:i/>
      <w:iCs/>
      <w:color w:val="0F4761" w:themeColor="accent1" w:themeShade="BF"/>
    </w:rPr>
  </w:style>
  <w:style w:type="paragraph" w:styleId="ab">
    <w:name w:val="Intense Quote"/>
    <w:basedOn w:val="a"/>
    <w:next w:val="a"/>
    <w:link w:val="ac"/>
    <w:uiPriority w:val="30"/>
    <w:qFormat/>
    <w:rsid w:val="0017706C"/>
    <w:pPr>
      <w:pBdr>
        <w:top w:val="single" w:sz="4" w:space="10" w:color="0F4761" w:themeColor="accent1" w:themeShade="BF"/>
        <w:bottom w:val="single" w:sz="4" w:space="10" w:color="0F4761" w:themeColor="accent1" w:themeShade="BF"/>
      </w:pBdr>
      <w:spacing w:before="360" w:after="360" w:line="360" w:lineRule="auto"/>
      <w:ind w:left="864" w:right="864" w:firstLine="709"/>
      <w:jc w:val="center"/>
    </w:pPr>
    <w:rPr>
      <w:rFonts w:asciiTheme="minorHAnsi" w:hAnsiTheme="minorHAnsi" w:cstheme="minorBidi"/>
      <w:i/>
      <w:iCs/>
      <w:color w:val="0F4761" w:themeColor="accent1" w:themeShade="BF"/>
      <w:kern w:val="2"/>
      <w:sz w:val="22"/>
      <w:szCs w:val="22"/>
      <w14:ligatures w14:val="standardContextual"/>
    </w:rPr>
  </w:style>
  <w:style w:type="character" w:customStyle="1" w:styleId="ac">
    <w:name w:val="Насичена цитата Знак"/>
    <w:basedOn w:val="a0"/>
    <w:link w:val="ab"/>
    <w:uiPriority w:val="30"/>
    <w:rsid w:val="0017706C"/>
    <w:rPr>
      <w:i/>
      <w:iCs/>
      <w:color w:val="0F4761" w:themeColor="accent1" w:themeShade="BF"/>
    </w:rPr>
  </w:style>
  <w:style w:type="character" w:styleId="ad">
    <w:name w:val="Intense Reference"/>
    <w:basedOn w:val="a0"/>
    <w:uiPriority w:val="32"/>
    <w:qFormat/>
    <w:rsid w:val="001770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3137</Characters>
  <Application>Microsoft Office Word</Application>
  <DocSecurity>0</DocSecurity>
  <Lines>26</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юрій грубар</dc:creator>
  <cp:keywords/>
  <dc:description/>
  <cp:lastModifiedBy>1c</cp:lastModifiedBy>
  <cp:revision>2</cp:revision>
  <dcterms:created xsi:type="dcterms:W3CDTF">2025-12-09T10:43:00Z</dcterms:created>
  <dcterms:modified xsi:type="dcterms:W3CDTF">2025-12-09T10:43:00Z</dcterms:modified>
</cp:coreProperties>
</file>