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956" w:rsidRDefault="00EC5AD6" w:rsidP="00EC5AD6">
      <w:pPr>
        <w:pStyle w:val="1"/>
        <w:spacing w:before="0"/>
      </w:pPr>
      <w:r>
        <w:rPr>
          <w:spacing w:val="-2"/>
        </w:rPr>
        <w:t>Анотація</w:t>
      </w:r>
    </w:p>
    <w:p w:rsidR="00C00956" w:rsidRDefault="00EC5AD6" w:rsidP="00EC5AD6">
      <w:pPr>
        <w:ind w:left="141" w:right="134" w:firstLine="706"/>
        <w:jc w:val="both"/>
        <w:rPr>
          <w:sz w:val="28"/>
        </w:rPr>
      </w:pPr>
      <w:r>
        <w:rPr>
          <w:b/>
          <w:sz w:val="28"/>
        </w:rPr>
        <w:t xml:space="preserve">Ковальчук Б.М. Розвиток соціальних комунікативних навичок у дітей середнього шкільного віку з особливими освітніми потребами в умовах навчально-реабілітаційного центру. </w:t>
      </w:r>
      <w:r>
        <w:rPr>
          <w:sz w:val="28"/>
        </w:rPr>
        <w:t>– Магістерська робота зі спеціальності 016 – Спеціальна освіта (Інклюзивна освіта). – Т</w:t>
      </w:r>
      <w:r>
        <w:rPr>
          <w:sz w:val="28"/>
        </w:rPr>
        <w:t>ернопільський національний педагогічний університет імені Володимира Гнатюка. – Тернопіль, 2025. – 76 с.</w:t>
      </w:r>
    </w:p>
    <w:p w:rsidR="00C00956" w:rsidRDefault="00EC5AD6" w:rsidP="00EC5AD6">
      <w:pPr>
        <w:pStyle w:val="a3"/>
        <w:ind w:right="139"/>
      </w:pPr>
      <w:r>
        <w:t>Об’єктом</w:t>
      </w:r>
      <w:r>
        <w:rPr>
          <w:spacing w:val="-2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соціальні</w:t>
      </w:r>
      <w:r>
        <w:rPr>
          <w:spacing w:val="-3"/>
        </w:rPr>
        <w:t xml:space="preserve"> </w:t>
      </w:r>
      <w:r>
        <w:t>комунікативні</w:t>
      </w:r>
      <w:r>
        <w:rPr>
          <w:spacing w:val="-3"/>
        </w:rPr>
        <w:t xml:space="preserve"> </w:t>
      </w:r>
      <w:r>
        <w:t>навички</w:t>
      </w:r>
      <w:r>
        <w:rPr>
          <w:spacing w:val="-3"/>
        </w:rPr>
        <w:t xml:space="preserve"> </w:t>
      </w:r>
      <w:r>
        <w:t>підлітків</w:t>
      </w:r>
      <w:r>
        <w:rPr>
          <w:spacing w:val="-4"/>
        </w:rPr>
        <w:t xml:space="preserve"> </w:t>
      </w:r>
      <w:r>
        <w:t>(10– 14 років) з розладами спектра аутизму (РСА) та інтелектуальними порушеннями (ІП).</w:t>
      </w:r>
      <w:r>
        <w:t xml:space="preserve"> Обґрунтовано специфіку дизонтогенезу (зокрема, асинхронію</w:t>
      </w:r>
      <w:r>
        <w:rPr>
          <w:spacing w:val="-18"/>
        </w:rPr>
        <w:t xml:space="preserve"> </w:t>
      </w:r>
      <w:r>
        <w:t>розвитку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РСА)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необхідність</w:t>
      </w:r>
      <w:r>
        <w:rPr>
          <w:spacing w:val="-17"/>
        </w:rPr>
        <w:t xml:space="preserve"> </w:t>
      </w:r>
      <w:r>
        <w:t>застосування</w:t>
      </w:r>
      <w:r>
        <w:rPr>
          <w:spacing w:val="-18"/>
        </w:rPr>
        <w:t xml:space="preserve"> </w:t>
      </w:r>
      <w:r>
        <w:t>інноваційних</w:t>
      </w:r>
      <w:r>
        <w:rPr>
          <w:spacing w:val="-17"/>
        </w:rPr>
        <w:t xml:space="preserve"> </w:t>
      </w:r>
      <w:r>
        <w:t xml:space="preserve">ІКТ для подолання «вивченої комунікативної безпорадності» та соціальної тривожності. Для діагностики рівня комунікативної компетентності </w:t>
      </w:r>
      <w:r>
        <w:t>застосовано адаптовану методику К.А. Квілл. Ключовим інструментом корекції стала система VoiceToys, що базується на принципах біологічного зворотного</w:t>
      </w:r>
      <w:r>
        <w:rPr>
          <w:spacing w:val="-2"/>
        </w:rPr>
        <w:t xml:space="preserve"> </w:t>
      </w:r>
      <w:r>
        <w:t>зв'язку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мультисенсорної</w:t>
      </w:r>
      <w:r>
        <w:rPr>
          <w:spacing w:val="-3"/>
        </w:rPr>
        <w:t xml:space="preserve"> </w:t>
      </w:r>
      <w:r>
        <w:t>стимуляції, забезпечуючи</w:t>
      </w:r>
      <w:r>
        <w:rPr>
          <w:spacing w:val="-3"/>
        </w:rPr>
        <w:t xml:space="preserve"> </w:t>
      </w:r>
      <w:r>
        <w:t>візуалізацію акустичних параметрів мовлення.</w:t>
      </w:r>
    </w:p>
    <w:p w:rsidR="00C00956" w:rsidRDefault="00EC5AD6" w:rsidP="00EC5AD6">
      <w:pPr>
        <w:pStyle w:val="a3"/>
        <w:ind w:right="137"/>
      </w:pPr>
      <w:r>
        <w:t>Експериме</w:t>
      </w:r>
      <w:r>
        <w:t>нтально доведена ефективність розробленої триетапної програми. Впровадження VoiceToys забезпечило статистично значущий приріст показників в експериментальній групі та підвищення мотивації до комунікації. Результати підтвердили, що інтеграція ІКТ у навчальн</w:t>
      </w:r>
      <w:r>
        <w:t>о- реабілітаційному центрі є ефективною умовою для формування стійких соціальних навичок та успішної соціалізації підлітків з ООП.</w:t>
      </w:r>
    </w:p>
    <w:p w:rsidR="00C00956" w:rsidRDefault="00EC5AD6" w:rsidP="00EC5AD6">
      <w:pPr>
        <w:pStyle w:val="a3"/>
        <w:ind w:right="145"/>
      </w:pPr>
      <w:r>
        <w:rPr>
          <w:b/>
        </w:rPr>
        <w:t xml:space="preserve">Ключові слова: </w:t>
      </w:r>
      <w:r>
        <w:t>соціальні комунікативні навички, розлади спектра аутизму, інтелектуальні порушення, навчально-реабілітаційни</w:t>
      </w:r>
      <w:r>
        <w:t>й центр, VoiceToys, біологічний зворотний зв'язок, мультисенсорна стимуляція.</w:t>
      </w:r>
    </w:p>
    <w:p w:rsidR="00EC5AD6" w:rsidRDefault="00EC5AD6" w:rsidP="00EC5AD6">
      <w:pPr>
        <w:pStyle w:val="a3"/>
        <w:ind w:right="145"/>
      </w:pPr>
    </w:p>
    <w:p w:rsidR="00C00956" w:rsidRDefault="00EC5AD6" w:rsidP="00EC5AD6">
      <w:pPr>
        <w:pStyle w:val="1"/>
        <w:spacing w:before="0"/>
        <w:ind w:left="1"/>
      </w:pPr>
      <w:r>
        <w:rPr>
          <w:spacing w:val="-2"/>
        </w:rPr>
        <w:t>Abstract</w:t>
      </w:r>
    </w:p>
    <w:p w:rsidR="00C00956" w:rsidRDefault="00EC5AD6" w:rsidP="00EC5AD6">
      <w:pPr>
        <w:ind w:left="141" w:right="136" w:firstLine="706"/>
        <w:jc w:val="both"/>
        <w:rPr>
          <w:sz w:val="28"/>
        </w:rPr>
      </w:pPr>
      <w:r>
        <w:rPr>
          <w:b/>
          <w:sz w:val="28"/>
        </w:rPr>
        <w:t>Kovalchuk B. M. Development of social communication skills in middle school students with special educational needs in the conditions of a teaching and r</w:t>
      </w:r>
      <w:r>
        <w:rPr>
          <w:b/>
          <w:sz w:val="28"/>
        </w:rPr>
        <w:t xml:space="preserve">ehabilitation center. </w:t>
      </w:r>
      <w:r>
        <w:rPr>
          <w:sz w:val="28"/>
        </w:rPr>
        <w:t>– Master's thesis in specialty 016 – Special education (Inclusive education). – Ternopil Volodymyr Hnatyuk National Pedagogical University. – Ternopil, 2025. – 76 p.</w:t>
      </w:r>
    </w:p>
    <w:p w:rsidR="00C00956" w:rsidRDefault="00EC5AD6" w:rsidP="00EC5AD6">
      <w:pPr>
        <w:pStyle w:val="a3"/>
        <w:ind w:right="134"/>
      </w:pPr>
      <w:r>
        <w:t>The research object is the social communication skills of adolescent</w:t>
      </w:r>
      <w:r>
        <w:t>s (10–14 years)</w:t>
      </w:r>
      <w:r>
        <w:rPr>
          <w:spacing w:val="-4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Autism Spectrum Disorder (ASD) and Intellectual Disabilities (ID) in a teaching and rehabilitation center (TRC) setting. The study justifies the specificity of dysontogenesis and the need to use innovative ICT to overcome "learned comm</w:t>
      </w:r>
      <w:r>
        <w:t>unicative helplessness" and social anxiety. The adapted K.A. Quill methodology was used for diagnosis.</w:t>
      </w:r>
      <w:r>
        <w:rPr>
          <w:spacing w:val="-1"/>
        </w:rPr>
        <w:t xml:space="preserve"> </w:t>
      </w:r>
      <w:r>
        <w:t>The key correctional tool was the</w:t>
      </w:r>
      <w:r>
        <w:rPr>
          <w:spacing w:val="-2"/>
        </w:rPr>
        <w:t xml:space="preserve"> </w:t>
      </w:r>
      <w:r>
        <w:t>VoiceToys system, based on the principles of biofeedback and multisensory stimulation, providing visualization of acous</w:t>
      </w:r>
      <w:r>
        <w:t>tic speech parameters.</w:t>
      </w:r>
    </w:p>
    <w:p w:rsidR="00C00956" w:rsidRDefault="00EC5AD6" w:rsidP="00EC5AD6">
      <w:pPr>
        <w:pStyle w:val="a3"/>
        <w:ind w:right="142"/>
      </w:pPr>
      <w:r>
        <w:t xml:space="preserve">The effectiveness of the developed three-stage program was experimentally proven. The implementation of VoiceToys resulted in a statistically significant increase in performance in the experimental group and increased motivation for </w:t>
      </w:r>
      <w:r>
        <w:t>communication.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findings</w:t>
      </w:r>
      <w:r>
        <w:rPr>
          <w:spacing w:val="-18"/>
        </w:rPr>
        <w:t xml:space="preserve"> </w:t>
      </w:r>
      <w:r>
        <w:t>confirm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ICT</w:t>
      </w:r>
      <w:r>
        <w:rPr>
          <w:spacing w:val="-17"/>
        </w:rPr>
        <w:t xml:space="preserve"> </w:t>
      </w:r>
      <w:r>
        <w:t>integration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effective condition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forming</w:t>
      </w:r>
      <w:r>
        <w:rPr>
          <w:spacing w:val="-5"/>
        </w:rPr>
        <w:t xml:space="preserve"> </w:t>
      </w:r>
      <w:r>
        <w:t>stable</w:t>
      </w:r>
      <w:r>
        <w:rPr>
          <w:spacing w:val="-5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socialization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adolescents with SEN.</w:t>
      </w:r>
    </w:p>
    <w:p w:rsidR="00C00956" w:rsidRDefault="00EC5AD6" w:rsidP="00EC5AD6">
      <w:pPr>
        <w:pStyle w:val="a3"/>
        <w:ind w:right="144"/>
      </w:pPr>
      <w:bookmarkStart w:id="0" w:name="_GoBack"/>
      <w:bookmarkEnd w:id="0"/>
      <w:r>
        <w:rPr>
          <w:b/>
        </w:rPr>
        <w:t xml:space="preserve">Keywords: </w:t>
      </w:r>
      <w:r>
        <w:t xml:space="preserve">social communication skills, autism spectrum disorders, </w:t>
      </w:r>
      <w:r>
        <w:lastRenderedPageBreak/>
        <w:t>intellectual</w:t>
      </w:r>
      <w:r>
        <w:rPr>
          <w:spacing w:val="-5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</w:t>
      </w:r>
      <w:r>
        <w:rPr>
          <w:spacing w:val="-6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VoiceToys,</w:t>
      </w:r>
      <w:r>
        <w:rPr>
          <w:spacing w:val="-4"/>
        </w:rPr>
        <w:t xml:space="preserve"> </w:t>
      </w:r>
      <w:r>
        <w:t>biofeedback, multisensory stimulation.</w:t>
      </w:r>
    </w:p>
    <w:sectPr w:rsidR="00C00956">
      <w:pgSz w:w="11910" w:h="16840"/>
      <w:pgMar w:top="1040" w:right="992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956"/>
    <w:rsid w:val="00C00956"/>
    <w:rsid w:val="00E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EE7B"/>
  <w15:docId w15:val="{A7649D6B-E957-4C41-94B7-84A899AF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righ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2017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Kovalchuck</dc:creator>
  <cp:lastModifiedBy>admim</cp:lastModifiedBy>
  <cp:revision>2</cp:revision>
  <dcterms:created xsi:type="dcterms:W3CDTF">2025-12-29T10:28:00Z</dcterms:created>
  <dcterms:modified xsi:type="dcterms:W3CDTF">2025-12-29T10:47:00Z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для Microsoft 365</vt:lpwstr>
  </property>
</Properties>
</file>