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0"/>
      </w:pPr>
      <w:r>
        <w:rPr>
          <w:spacing w:val="-2"/>
        </w:rPr>
        <w:t>Анотація</w:t>
      </w:r>
    </w:p>
    <w:p>
      <w:pPr>
        <w:pStyle w:val="BodyText"/>
        <w:spacing w:before="96"/>
        <w:ind w:left="0" w:firstLine="0"/>
        <w:jc w:val="left"/>
        <w:rPr>
          <w:b/>
        </w:rPr>
      </w:pPr>
    </w:p>
    <w:p>
      <w:pPr>
        <w:pStyle w:val="BodyText"/>
        <w:spacing w:line="276" w:lineRule="auto"/>
        <w:ind w:right="36"/>
      </w:pPr>
      <w:r>
        <w:rPr/>
        <w:t>Акопджанян А. В. Організація дослідницької діяльності здобувачів загальної середньої освіти з вивчення процесів фотосинтезу ⁄ Акопджанян Анастасія</w:t>
      </w:r>
      <w:r>
        <w:rPr>
          <w:spacing w:val="80"/>
        </w:rPr>
        <w:t>  </w:t>
      </w:r>
      <w:r>
        <w:rPr/>
        <w:t>Владиславівна;</w:t>
      </w:r>
      <w:r>
        <w:rPr>
          <w:spacing w:val="80"/>
        </w:rPr>
        <w:t>  </w:t>
      </w:r>
      <w:r>
        <w:rPr/>
        <w:t>ТНПУ</w:t>
      </w:r>
      <w:r>
        <w:rPr>
          <w:spacing w:val="80"/>
        </w:rPr>
        <w:t>  </w:t>
      </w:r>
      <w:r>
        <w:rPr/>
        <w:t>ім.</w:t>
      </w:r>
      <w:r>
        <w:rPr>
          <w:spacing w:val="80"/>
        </w:rPr>
        <w:t>  </w:t>
      </w:r>
      <w:r>
        <w:rPr/>
        <w:t>Володимира</w:t>
      </w:r>
      <w:r>
        <w:rPr>
          <w:spacing w:val="80"/>
        </w:rPr>
        <w:t>  </w:t>
      </w:r>
      <w:r>
        <w:rPr/>
        <w:t>Гнатюка, хіміко-біологічний факультет, кафедра</w:t>
      </w:r>
      <w:r>
        <w:rPr>
          <w:spacing w:val="-4"/>
        </w:rPr>
        <w:t> </w:t>
      </w:r>
      <w:r>
        <w:rPr/>
        <w:t>ботаніки</w:t>
      </w:r>
      <w:r>
        <w:rPr>
          <w:spacing w:val="-4"/>
        </w:rPr>
        <w:t> </w:t>
      </w:r>
      <w:r>
        <w:rPr/>
        <w:t>та</w:t>
      </w:r>
      <w:r>
        <w:rPr>
          <w:spacing w:val="-4"/>
        </w:rPr>
        <w:t> </w:t>
      </w:r>
      <w:r>
        <w:rPr/>
        <w:t>зоології;</w:t>
      </w:r>
      <w:r>
        <w:rPr>
          <w:spacing w:val="-4"/>
        </w:rPr>
        <w:t> </w:t>
      </w:r>
      <w:r>
        <w:rPr/>
        <w:t>наук.</w:t>
      </w:r>
      <w:r>
        <w:rPr>
          <w:spacing w:val="-4"/>
        </w:rPr>
        <w:t> </w:t>
      </w:r>
      <w:r>
        <w:rPr/>
        <w:t>керівник Пида С. В. – Тернопіль, 2025. – 61 с.</w:t>
      </w:r>
    </w:p>
    <w:p>
      <w:pPr>
        <w:pStyle w:val="BodyText"/>
        <w:spacing w:line="276" w:lineRule="auto"/>
        <w:ind w:right="38"/>
      </w:pPr>
      <w:r>
        <w:rPr/>
        <w:t>У роботі обґрунтовано особливості дослідницької діяльності учнів закладів загальної середньої освіти під час вивчення біології, спрямованої на</w:t>
      </w:r>
      <w:r>
        <w:rPr>
          <w:spacing w:val="40"/>
        </w:rPr>
        <w:t>  </w:t>
      </w:r>
      <w:r>
        <w:rPr/>
        <w:t>дослідження</w:t>
      </w:r>
      <w:r>
        <w:rPr>
          <w:spacing w:val="40"/>
        </w:rPr>
        <w:t>  </w:t>
      </w:r>
      <w:r>
        <w:rPr/>
        <w:t>процесу</w:t>
      </w:r>
      <w:r>
        <w:rPr>
          <w:spacing w:val="40"/>
        </w:rPr>
        <w:t>  </w:t>
      </w:r>
      <w:r>
        <w:rPr/>
        <w:t>фотосинтезу</w:t>
      </w:r>
      <w:r>
        <w:rPr>
          <w:spacing w:val="40"/>
        </w:rPr>
        <w:t>  </w:t>
      </w:r>
      <w:r>
        <w:rPr/>
        <w:t>та</w:t>
      </w:r>
      <w:r>
        <w:rPr>
          <w:spacing w:val="40"/>
        </w:rPr>
        <w:t>  </w:t>
      </w:r>
      <w:r>
        <w:rPr/>
        <w:t>визначення</w:t>
      </w:r>
      <w:r>
        <w:rPr>
          <w:spacing w:val="40"/>
        </w:rPr>
        <w:t>  </w:t>
      </w:r>
      <w:r>
        <w:rPr/>
        <w:t>впливу</w:t>
      </w:r>
      <w:r>
        <w:rPr>
          <w:spacing w:val="80"/>
        </w:rPr>
        <w:t> </w:t>
      </w:r>
      <w:r>
        <w:rPr/>
        <w:t>органо-мінеральних добрив на його параметри.</w:t>
      </w:r>
    </w:p>
    <w:p>
      <w:pPr>
        <w:pStyle w:val="BodyText"/>
        <w:spacing w:line="276" w:lineRule="auto"/>
        <w:ind w:right="36"/>
      </w:pPr>
      <w:r>
        <w:rPr/>
        <w:t>Встановлено, що застосування рекультиванту композиційного ТРЕВІТАН® для передпосівної обробки насіння та позакореневого підживлення рослин нуту звичайного сортів Скарб та Ярина сприяє підвищенню вмісту хлорофілів а і b у мезофілі листків та збільшенню їх сумарної кількості впродовж онтогенезу. Найбільший уміст хлорофілів у листках рослин виявлено у фазі зеленого бобу.</w:t>
      </w:r>
    </w:p>
    <w:p>
      <w:pPr>
        <w:pStyle w:val="BodyText"/>
        <w:spacing w:line="276" w:lineRule="auto"/>
        <w:ind w:right="41"/>
      </w:pPr>
      <w:r>
        <w:rPr/>
        <w:t>Проаналізовано навчальні програми з біології та екології, обґрунтовано роль дослідницької діяльності в умовах Нової української школи та розроблено навчальні досліди для визначення фотосинтетичних пігментів у листках рослин. Результати анкетування учнів підтвердили ефективність залучення школярів до дослідницької роботи під час вивчення фотосинтезу.</w:t>
      </w:r>
    </w:p>
    <w:p>
      <w:pPr>
        <w:pStyle w:val="BodyText"/>
        <w:spacing w:line="276" w:lineRule="auto"/>
        <w:ind w:right="37"/>
      </w:pPr>
      <w:r>
        <w:rPr/>
        <w:t>Ключові слова: дослідницька діяльність, навчання, біологія, фотосинтез, органо-мінеральні добрива, рекультивант композиційний ТРЕВІТАН®, пігменти, нут звичайний.</w:t>
      </w:r>
    </w:p>
    <w:p>
      <w:pPr>
        <w:pStyle w:val="BodyText"/>
        <w:spacing w:before="48"/>
        <w:ind w:left="0" w:firstLine="0"/>
        <w:jc w:val="left"/>
      </w:pPr>
    </w:p>
    <w:p>
      <w:pPr>
        <w:pStyle w:val="Heading1"/>
      </w:pPr>
      <w:r>
        <w:rPr>
          <w:spacing w:val="-2"/>
        </w:rPr>
        <w:t>Abstract</w:t>
      </w:r>
    </w:p>
    <w:p>
      <w:pPr>
        <w:pStyle w:val="BodyText"/>
        <w:spacing w:before="96"/>
        <w:ind w:left="0" w:firstLine="0"/>
        <w:jc w:val="left"/>
        <w:rPr>
          <w:b/>
        </w:rPr>
      </w:pPr>
    </w:p>
    <w:p>
      <w:pPr>
        <w:pStyle w:val="BodyText"/>
        <w:spacing w:line="276" w:lineRule="auto"/>
        <w:ind w:right="40"/>
      </w:pPr>
      <w:r>
        <w:rPr/>
        <w:t>Akopdzhanian A.V. Organization of Research Activities on Photosynthesis for Comprehensive Secondary School Students / Akopdzhanian Anastasiia Vladyslavivna; Ternopil Volodymyr Hnatiuk National Pedagogical University, Faculty of Chemistry and Biology, Department of Botany and Zoology; supervisor of scientific work Pyda S. V. – Ternopil, 2025. – 61 p.</w:t>
      </w:r>
    </w:p>
    <w:p>
      <w:pPr>
        <w:pStyle w:val="BodyText"/>
        <w:spacing w:line="276" w:lineRule="auto"/>
        <w:ind w:right="38"/>
      </w:pPr>
      <w:r>
        <w:rPr/>
        <w:t>The paper substantiates the features of research activities of students of secondary education institutions during the study of biology, aimed at studying</w:t>
      </w:r>
    </w:p>
    <w:p>
      <w:pPr>
        <w:pStyle w:val="BodyText"/>
        <w:spacing w:after="0" w:line="276" w:lineRule="auto"/>
        <w:sectPr>
          <w:type w:val="continuous"/>
          <w:pgSz w:w="11920" w:h="16840"/>
          <w:pgMar w:top="1380" w:bottom="280" w:left="1417" w:right="1417"/>
        </w:sectPr>
      </w:pPr>
    </w:p>
    <w:p>
      <w:pPr>
        <w:pStyle w:val="BodyText"/>
        <w:spacing w:line="276" w:lineRule="auto" w:before="60"/>
        <w:ind w:right="36" w:firstLine="0"/>
      </w:pPr>
      <w:r>
        <w:rPr/>
        <w:t>the process of photosynthesis and determining the influence of organo-mineral fertilizers on its parameters.</w:t>
      </w:r>
    </w:p>
    <w:p>
      <w:pPr>
        <w:pStyle w:val="BodyText"/>
        <w:spacing w:line="276" w:lineRule="auto"/>
        <w:ind w:right="37"/>
      </w:pPr>
      <w:r>
        <w:rPr/>
        <w:t>It was</w:t>
      </w:r>
      <w:r>
        <w:rPr>
          <w:spacing w:val="-7"/>
        </w:rPr>
        <w:t> </w:t>
      </w:r>
      <w:r>
        <w:rPr/>
        <w:t>established</w:t>
      </w:r>
      <w:r>
        <w:rPr>
          <w:spacing w:val="-7"/>
        </w:rPr>
        <w:t> </w:t>
      </w:r>
      <w:r>
        <w:rPr/>
        <w:t>that</w:t>
      </w:r>
      <w:r>
        <w:rPr>
          <w:spacing w:val="-7"/>
        </w:rPr>
        <w:t> </w:t>
      </w:r>
      <w:r>
        <w:rPr/>
        <w:t>the</w:t>
      </w:r>
      <w:r>
        <w:rPr>
          <w:spacing w:val="-7"/>
        </w:rPr>
        <w:t> </w:t>
      </w:r>
      <w:r>
        <w:rPr/>
        <w:t>use</w:t>
      </w:r>
      <w:r>
        <w:rPr>
          <w:spacing w:val="-7"/>
        </w:rPr>
        <w:t> </w:t>
      </w:r>
      <w:r>
        <w:rPr/>
        <w:t>of</w:t>
      </w:r>
      <w:r>
        <w:rPr>
          <w:spacing w:val="-7"/>
        </w:rPr>
        <w:t> </w:t>
      </w:r>
      <w:r>
        <w:rPr/>
        <w:t>the</w:t>
      </w:r>
      <w:r>
        <w:rPr>
          <w:spacing w:val="-7"/>
        </w:rPr>
        <w:t> </w:t>
      </w:r>
      <w:r>
        <w:rPr/>
        <w:t>composite</w:t>
      </w:r>
      <w:r>
        <w:rPr>
          <w:spacing w:val="-7"/>
        </w:rPr>
        <w:t> </w:t>
      </w:r>
      <w:r>
        <w:rPr/>
        <w:t>recultivator</w:t>
      </w:r>
      <w:r>
        <w:rPr>
          <w:spacing w:val="-7"/>
        </w:rPr>
        <w:t> </w:t>
      </w:r>
      <w:r>
        <w:rPr/>
        <w:t>TREVITAN® for pre-sowing seed treatment and foliar feeding of common chickpea plants</w:t>
      </w:r>
      <w:r>
        <w:rPr>
          <w:spacing w:val="-3"/>
        </w:rPr>
        <w:t> </w:t>
      </w:r>
      <w:r>
        <w:rPr/>
        <w:t>of the Skarb and Yaryna varieties contributes to an increase in the content of chlorophylls a and b in the mesophyll of leaves and an increase in their total number during ontogenesis. The highest content of chlorophylls in plant leaves was found in the green bean phase.</w:t>
      </w:r>
    </w:p>
    <w:p>
      <w:pPr>
        <w:pStyle w:val="BodyText"/>
        <w:spacing w:line="276" w:lineRule="auto"/>
        <w:ind w:right="35"/>
      </w:pPr>
      <w:r>
        <w:rPr/>
        <w:t>The curriculum in biology and</w:t>
      </w:r>
      <w:r>
        <w:rPr>
          <w:spacing w:val="-3"/>
        </w:rPr>
        <w:t> </w:t>
      </w:r>
      <w:r>
        <w:rPr/>
        <w:t>ecology</w:t>
      </w:r>
      <w:r>
        <w:rPr>
          <w:spacing w:val="-3"/>
        </w:rPr>
        <w:t> </w:t>
      </w:r>
      <w:r>
        <w:rPr/>
        <w:t>was</w:t>
      </w:r>
      <w:r>
        <w:rPr>
          <w:spacing w:val="-3"/>
        </w:rPr>
        <w:t> </w:t>
      </w:r>
      <w:r>
        <w:rPr/>
        <w:t>analyzed,</w:t>
      </w:r>
      <w:r>
        <w:rPr>
          <w:spacing w:val="-3"/>
        </w:rPr>
        <w:t> </w:t>
      </w:r>
      <w:r>
        <w:rPr/>
        <w:t>the</w:t>
      </w:r>
      <w:r>
        <w:rPr>
          <w:spacing w:val="-3"/>
        </w:rPr>
        <w:t> </w:t>
      </w:r>
      <w:r>
        <w:rPr/>
        <w:t>role</w:t>
      </w:r>
      <w:r>
        <w:rPr>
          <w:spacing w:val="-3"/>
        </w:rPr>
        <w:t> </w:t>
      </w:r>
      <w:r>
        <w:rPr/>
        <w:t>of</w:t>
      </w:r>
      <w:r>
        <w:rPr>
          <w:spacing w:val="-3"/>
        </w:rPr>
        <w:t> </w:t>
      </w:r>
      <w:r>
        <w:rPr/>
        <w:t>research activities in the conditions of the New Ukrainian School was substantiated,</w:t>
      </w:r>
      <w:r>
        <w:rPr>
          <w:spacing w:val="-4"/>
        </w:rPr>
        <w:t> </w:t>
      </w:r>
      <w:r>
        <w:rPr/>
        <w:t>and educational experiments were developed to determine photosynthetic pigments in plant leaves. The results of the student questionnaire confirmed the effectiveness of involving schoolchildren in research work during the study of </w:t>
      </w:r>
      <w:r>
        <w:rPr>
          <w:spacing w:val="-2"/>
        </w:rPr>
        <w:t>photosynthesis.</w:t>
      </w:r>
    </w:p>
    <w:p>
      <w:pPr>
        <w:pStyle w:val="BodyText"/>
        <w:spacing w:before="48"/>
        <w:ind w:left="0" w:firstLine="0"/>
        <w:jc w:val="left"/>
      </w:pPr>
    </w:p>
    <w:p>
      <w:pPr>
        <w:pStyle w:val="BodyText"/>
        <w:spacing w:line="276" w:lineRule="auto"/>
        <w:ind w:right="42"/>
      </w:pPr>
      <w:r>
        <w:rPr>
          <w:b/>
        </w:rPr>
        <w:t>Keywords</w:t>
      </w:r>
      <w:r>
        <w:rPr/>
        <w:t>: research activities, education, biology, photosynthesis, organo-mineral fertilizers, composite recultivant TREVITAN®, pigments, common chickpea.</w:t>
      </w:r>
    </w:p>
    <w:sectPr>
      <w:pgSz w:w="11920" w:h="16840"/>
      <w:pgMar w:top="138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ind w:left="23" w:firstLine="720"/>
      <w:jc w:val="both"/>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spacing w:before="1"/>
      <w:ind w:right="12"/>
      <w:jc w:val="center"/>
      <w:outlineLvl w:val="1"/>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rPr>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Анотація (Акопджанян)_1.docx</dc:title>
  <dcterms:created xsi:type="dcterms:W3CDTF">2025-12-18T22:45:32Z</dcterms:created>
  <dcterms:modified xsi:type="dcterms:W3CDTF">2025-12-18T22:45:32Z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Producer">
    <vt:lpwstr>Skia/PDF m145 Google Docs Renderer</vt:lpwstr>
  </property>
  <property fmtid="{D5CDD505-2E9C-101B-9397-08002B2CF9AE}" pid="4" name="LastSaved">
    <vt:filetime>2025-12-18T00:00:00Z</vt:filetime>
  </property>
</Properties>
</file>